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3E6A45" w:rsidRPr="004E7BE4" w14:paraId="7B93E522" w14:textId="77777777">
      <w:pPr>
        <w:rPr>
          <w:rFonts w:cs="Arial"/>
          <w:b/>
          <w:sz w:val="22"/>
          <w:szCs w:val="22"/>
        </w:rPr>
      </w:pPr>
      <w:r w:rsidRPr="004E7BE4">
        <w:rPr>
          <w:rFonts w:cs="Arial"/>
          <w:b/>
          <w:sz w:val="22"/>
          <w:szCs w:val="22"/>
        </w:rPr>
        <w:fldChar w:fldCharType="begin"/>
      </w:r>
      <w:r w:rsidRPr="004E7BE4">
        <w:rPr>
          <w:rFonts w:cs="Arial"/>
          <w:b/>
          <w:sz w:val="22"/>
          <w:szCs w:val="22"/>
        </w:rPr>
        <w:instrText xml:space="preserve"> DOCPROPERTY  CommitteeName  \* MERGEFORMAT </w:instrText>
      </w:r>
      <w:r w:rsidRPr="004E7BE4">
        <w:rPr>
          <w:rFonts w:cs="Arial"/>
          <w:b/>
          <w:sz w:val="22"/>
          <w:szCs w:val="22"/>
        </w:rPr>
        <w:fldChar w:fldCharType="separate"/>
      </w:r>
      <w:r w:rsidRPr="004E7BE4">
        <w:rPr>
          <w:rFonts w:cs="Arial"/>
          <w:b/>
          <w:sz w:val="22"/>
          <w:szCs w:val="22"/>
        </w:rPr>
        <w:t>Internal Scrutiny Committee</w:t>
      </w:r>
      <w:r w:rsidRPr="004E7BE4">
        <w:rPr>
          <w:rFonts w:cs="Arial"/>
          <w:b/>
          <w:sz w:val="22"/>
          <w:szCs w:val="22"/>
        </w:rPr>
        <w:fldChar w:fldCharType="end"/>
      </w:r>
    </w:p>
    <w:p w:rsidR="003E6A45" w:rsidRPr="004E7BE4" w14:paraId="73CA4ECC" w14:textId="77777777">
      <w:pPr>
        <w:rPr>
          <w:rFonts w:cs="Arial"/>
          <w:sz w:val="22"/>
          <w:szCs w:val="22"/>
        </w:rPr>
      </w:pPr>
      <w:r w:rsidRPr="004E7BE4">
        <w:rPr>
          <w:rFonts w:cs="Arial"/>
          <w:sz w:val="22"/>
          <w:szCs w:val="22"/>
        </w:rPr>
        <w:t xml:space="preserve">Meeting to be held on </w:t>
      </w:r>
      <w:r w:rsidRPr="004E7BE4" w:rsidR="006B039E">
        <w:rPr>
          <w:rFonts w:cs="Arial"/>
          <w:sz w:val="22"/>
          <w:szCs w:val="22"/>
        </w:rPr>
        <w:fldChar w:fldCharType="begin"/>
      </w:r>
      <w:r w:rsidRPr="004E7BE4" w:rsidR="006B039E">
        <w:rPr>
          <w:rFonts w:cs="Arial"/>
          <w:sz w:val="22"/>
          <w:szCs w:val="22"/>
        </w:rPr>
        <w:instrText xml:space="preserve"> DOCPROPERTY  MeetingDate  \* MERGEFORMAT </w:instrText>
      </w:r>
      <w:r w:rsidRPr="004E7BE4" w:rsidR="006B039E">
        <w:rPr>
          <w:rFonts w:cs="Arial"/>
          <w:sz w:val="22"/>
          <w:szCs w:val="22"/>
        </w:rPr>
        <w:fldChar w:fldCharType="separate"/>
      </w:r>
      <w:r w:rsidRPr="004E7BE4" w:rsidR="006B039E">
        <w:rPr>
          <w:rFonts w:cs="Arial"/>
          <w:sz w:val="22"/>
          <w:szCs w:val="22"/>
        </w:rPr>
        <w:t>Friday, 10 September 2021</w:t>
      </w:r>
      <w:r w:rsidRPr="004E7BE4" w:rsidR="006B039E">
        <w:rPr>
          <w:rFonts w:cs="Arial"/>
          <w:sz w:val="22"/>
          <w:szCs w:val="22"/>
        </w:rPr>
        <w:fldChar w:fldCharType="end"/>
      </w:r>
    </w:p>
    <w:p w:rsidR="003E6A45" w:rsidRPr="004E7BE4" w14:paraId="333DD548" w14:textId="77777777">
      <w:pPr>
        <w:rPr>
          <w:rFonts w:cs="Arial"/>
          <w:sz w:val="22"/>
          <w:szCs w:val="22"/>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14:paraId="16601B8E" w14:textId="77777777">
        <w:tblPrEx>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3260" w:type="dxa"/>
          </w:tcPr>
          <w:p w:rsidR="003E6A45" w:rsidRPr="004E7BE4" w14:paraId="662BF7A8" w14:textId="77777777">
            <w:pPr>
              <w:pStyle w:val="BodyText"/>
              <w:rPr>
                <w:rFonts w:cs="Arial"/>
                <w:sz w:val="22"/>
                <w:szCs w:val="22"/>
              </w:rPr>
            </w:pPr>
            <w:r w:rsidRPr="004E7BE4">
              <w:rPr>
                <w:rFonts w:cs="Arial"/>
                <w:sz w:val="22"/>
                <w:szCs w:val="22"/>
              </w:rPr>
              <w:t>Electoral Division affected:</w:t>
            </w:r>
          </w:p>
          <w:p w:rsidR="003E6A45" w:rsidRPr="004E7BE4" w14:paraId="3FC8D354" w14:textId="27434595">
            <w:pPr>
              <w:rPr>
                <w:rFonts w:cs="Arial"/>
                <w:sz w:val="22"/>
                <w:szCs w:val="22"/>
                <w:u w:val="single"/>
              </w:rPr>
            </w:pPr>
            <w:r>
              <w:rPr>
                <w:rFonts w:cs="Arial"/>
                <w:sz w:val="22"/>
                <w:szCs w:val="22"/>
              </w:rPr>
              <w:t>All</w:t>
            </w:r>
            <w:r w:rsidRPr="004E7BE4" w:rsidR="006B039E">
              <w:rPr>
                <w:rFonts w:cs="Arial"/>
                <w:sz w:val="22"/>
                <w:szCs w:val="22"/>
              </w:rPr>
              <w:fldChar w:fldCharType="begin"/>
            </w:r>
            <w:r w:rsidRPr="004E7BE4" w:rsidR="006B039E">
              <w:rPr>
                <w:rFonts w:cs="Arial"/>
                <w:sz w:val="22"/>
                <w:szCs w:val="22"/>
              </w:rPr>
              <w:instrText xml:space="preserve"> DOCPROPERTY  Wards  \* MERGEFORMAT </w:instrText>
            </w:r>
            <w:r w:rsidRPr="004E7BE4" w:rsidR="006B039E">
              <w:rPr>
                <w:rFonts w:cs="Arial"/>
                <w:sz w:val="22"/>
                <w:szCs w:val="22"/>
              </w:rPr>
              <w:fldChar w:fldCharType="separate"/>
            </w:r>
            <w:r w:rsidRPr="004E7BE4" w:rsidR="006B039E">
              <w:rPr>
                <w:rFonts w:cs="Arial"/>
                <w:sz w:val="22"/>
                <w:szCs w:val="22"/>
              </w:rPr>
              <w:fldChar w:fldCharType="end"/>
            </w:r>
          </w:p>
        </w:tc>
      </w:tr>
    </w:tbl>
    <w:p w:rsidR="003E6A45" w14:paraId="000DC87E" w14:textId="5AD11B9A">
      <w:pPr>
        <w:rPr>
          <w:rFonts w:cs="Arial"/>
          <w:sz w:val="22"/>
          <w:szCs w:val="22"/>
          <w:u w:val="single"/>
        </w:rPr>
      </w:pPr>
    </w:p>
    <w:p w:rsidR="00F043F5" w:rsidRPr="004E7BE4" w14:paraId="231CBECF" w14:textId="77777777">
      <w:pPr>
        <w:rPr>
          <w:rFonts w:cs="Arial"/>
          <w:sz w:val="22"/>
          <w:szCs w:val="22"/>
          <w:u w:val="single"/>
        </w:rPr>
      </w:pPr>
    </w:p>
    <w:p w:rsidR="00BF78DE" w:rsidRPr="004E7BE4" w14:paraId="4DA19E2E" w14:textId="4C3E1F61">
      <w:pPr>
        <w:rPr>
          <w:rFonts w:cs="Arial"/>
          <w:b/>
          <w:sz w:val="22"/>
          <w:szCs w:val="22"/>
        </w:rPr>
      </w:pPr>
      <w:r w:rsidRPr="004E7BE4">
        <w:rPr>
          <w:rFonts w:cs="Arial"/>
          <w:b/>
          <w:sz w:val="22"/>
          <w:szCs w:val="22"/>
        </w:rPr>
        <w:fldChar w:fldCharType="begin"/>
      </w:r>
      <w:r w:rsidRPr="004E7BE4">
        <w:rPr>
          <w:rFonts w:cs="Arial"/>
          <w:b/>
          <w:sz w:val="22"/>
          <w:szCs w:val="22"/>
        </w:rPr>
        <w:instrText xml:space="preserve"> DOCPROPERTY  IssueTitle  \* MERGEFORMAT </w:instrText>
      </w:r>
      <w:r w:rsidRPr="004E7BE4">
        <w:rPr>
          <w:rFonts w:cs="Arial"/>
          <w:b/>
          <w:sz w:val="22"/>
          <w:szCs w:val="22"/>
        </w:rPr>
        <w:fldChar w:fldCharType="separate"/>
      </w:r>
      <w:r w:rsidRPr="004E7BE4">
        <w:rPr>
          <w:rFonts w:cs="Arial"/>
          <w:b/>
          <w:sz w:val="22"/>
          <w:szCs w:val="22"/>
        </w:rPr>
        <w:t>Regulatory of Investigatory Powers Act 2000 - Annual Report</w:t>
      </w:r>
      <w:r w:rsidRPr="004E7BE4">
        <w:rPr>
          <w:rFonts w:cs="Arial"/>
          <w:b/>
          <w:sz w:val="22"/>
          <w:szCs w:val="22"/>
        </w:rPr>
        <w:fldChar w:fldCharType="end"/>
      </w:r>
    </w:p>
    <w:p w:rsidR="003E6A45" w:rsidRPr="004E7BE4" w14:paraId="14FF53BD" w14:textId="210E4C86">
      <w:pPr>
        <w:ind w:left="709" w:hanging="709"/>
        <w:rPr>
          <w:rFonts w:cs="Arial"/>
          <w:sz w:val="22"/>
          <w:szCs w:val="22"/>
        </w:rPr>
      </w:pPr>
      <w:r w:rsidRPr="004E7BE4">
        <w:rPr>
          <w:rFonts w:cs="Arial"/>
          <w:sz w:val="22"/>
          <w:szCs w:val="22"/>
        </w:rPr>
        <w:t>Appendix A - Corporate Policy and Guidance on the Regulation of Investigatory Powers Act</w:t>
      </w:r>
    </w:p>
    <w:p w:rsidR="003040DC" w:rsidRPr="004E7BE4" w14:paraId="3C9A66B4" w14:textId="69DEAD8F">
      <w:pPr>
        <w:ind w:left="709" w:hanging="709"/>
        <w:rPr>
          <w:rFonts w:cs="Arial"/>
          <w:sz w:val="22"/>
          <w:szCs w:val="22"/>
        </w:rPr>
      </w:pPr>
      <w:r w:rsidRPr="004E7BE4">
        <w:rPr>
          <w:rFonts w:cs="Arial"/>
          <w:sz w:val="22"/>
          <w:szCs w:val="22"/>
        </w:rPr>
        <w:t>Appendix B</w:t>
      </w:r>
      <w:r w:rsidRPr="004E7BE4" w:rsidR="003B252B">
        <w:rPr>
          <w:rFonts w:cs="Arial"/>
          <w:sz w:val="22"/>
          <w:szCs w:val="22"/>
        </w:rPr>
        <w:t xml:space="preserve"> - </w:t>
      </w:r>
      <w:r w:rsidRPr="004E7BE4">
        <w:rPr>
          <w:rFonts w:cs="Arial"/>
          <w:sz w:val="22"/>
          <w:szCs w:val="22"/>
        </w:rPr>
        <w:t>Shadow RIPA Surveillance Corporate Policy</w:t>
      </w:r>
    </w:p>
    <w:p w:rsidR="003B252B" w:rsidRPr="004E7BE4" w14:paraId="491D05AA" w14:textId="7368C654">
      <w:pPr>
        <w:ind w:left="709" w:hanging="709"/>
        <w:rPr>
          <w:rFonts w:cs="Arial"/>
          <w:sz w:val="22"/>
          <w:szCs w:val="22"/>
        </w:rPr>
      </w:pPr>
      <w:r w:rsidRPr="004E7BE4">
        <w:rPr>
          <w:rFonts w:cs="Arial"/>
          <w:sz w:val="22"/>
          <w:szCs w:val="22"/>
        </w:rPr>
        <w:t>Appendix C - Covert Social Networking Checks and Surveillance Policy</w:t>
      </w:r>
    </w:p>
    <w:p w:rsidR="003E6A45" w14:paraId="670F90E1" w14:textId="1E2F89BD">
      <w:pPr>
        <w:rPr>
          <w:rFonts w:cs="Arial"/>
          <w:sz w:val="22"/>
          <w:szCs w:val="22"/>
        </w:rPr>
      </w:pPr>
    </w:p>
    <w:p w:rsidR="00F043F5" w:rsidRPr="004E7BE4" w14:paraId="20C3E1D7" w14:textId="77777777">
      <w:pPr>
        <w:rPr>
          <w:rFonts w:cs="Arial"/>
          <w:sz w:val="22"/>
          <w:szCs w:val="22"/>
        </w:rPr>
      </w:pPr>
    </w:p>
    <w:p w:rsidR="003E6A45" w:rsidRPr="004E7BE4" w14:paraId="5B36058B" w14:textId="77777777">
      <w:pPr>
        <w:rPr>
          <w:rFonts w:cs="Arial"/>
          <w:sz w:val="22"/>
          <w:szCs w:val="22"/>
        </w:rPr>
      </w:pPr>
      <w:r w:rsidRPr="004E7BE4">
        <w:rPr>
          <w:rFonts w:cs="Arial"/>
          <w:sz w:val="22"/>
          <w:szCs w:val="22"/>
        </w:rPr>
        <w:t>Contact for further information:</w:t>
      </w:r>
    </w:p>
    <w:p w:rsidR="003E6A45" w:rsidRPr="004E7BE4" w14:paraId="427F7E5C" w14:textId="28237307">
      <w:pPr>
        <w:rPr>
          <w:rFonts w:cs="Arial"/>
          <w:sz w:val="22"/>
          <w:szCs w:val="22"/>
        </w:rPr>
      </w:pPr>
      <w:r w:rsidRPr="004E7BE4">
        <w:rPr>
          <w:rFonts w:cs="Arial"/>
          <w:sz w:val="22"/>
          <w:szCs w:val="22"/>
        </w:rPr>
        <w:fldChar w:fldCharType="begin"/>
      </w:r>
      <w:r w:rsidRPr="004E7BE4">
        <w:rPr>
          <w:rFonts w:cs="Arial"/>
          <w:sz w:val="22"/>
          <w:szCs w:val="22"/>
        </w:rPr>
        <w:instrText xml:space="preserve"> DOCPROPERTY  LeadOfficer  \* MERGEFORMAT </w:instrText>
      </w:r>
      <w:r w:rsidRPr="004E7BE4">
        <w:rPr>
          <w:rFonts w:cs="Arial"/>
          <w:sz w:val="22"/>
          <w:szCs w:val="22"/>
        </w:rPr>
        <w:fldChar w:fldCharType="separate"/>
      </w:r>
      <w:r w:rsidRPr="004E7BE4">
        <w:rPr>
          <w:rFonts w:cs="Arial"/>
          <w:sz w:val="22"/>
          <w:szCs w:val="22"/>
        </w:rPr>
        <w:t>Chris Wilkinson</w:t>
      </w:r>
      <w:r w:rsidRPr="004E7BE4">
        <w:rPr>
          <w:rFonts w:cs="Arial"/>
          <w:sz w:val="22"/>
          <w:szCs w:val="22"/>
        </w:rPr>
        <w:fldChar w:fldCharType="end"/>
      </w:r>
      <w:r w:rsidRPr="004E7BE4">
        <w:rPr>
          <w:rFonts w:cs="Arial"/>
          <w:sz w:val="22"/>
          <w:szCs w:val="22"/>
        </w:rPr>
        <w:t xml:space="preserve">, </w:t>
      </w:r>
      <w:r w:rsidRPr="004E7BE4" w:rsidR="00BF78DE">
        <w:rPr>
          <w:rFonts w:cs="Arial"/>
          <w:sz w:val="22"/>
          <w:szCs w:val="22"/>
        </w:rPr>
        <w:t>Trading Standards Manager</w:t>
      </w:r>
      <w:r w:rsidRPr="004E7BE4" w:rsidR="00772BBA">
        <w:rPr>
          <w:rFonts w:cs="Arial"/>
          <w:sz w:val="22"/>
          <w:szCs w:val="22"/>
        </w:rPr>
        <w:t xml:space="preserve">, </w:t>
      </w:r>
      <w:r w:rsidR="00F043F5">
        <w:rPr>
          <w:rFonts w:cs="Arial"/>
          <w:sz w:val="22"/>
          <w:szCs w:val="22"/>
        </w:rPr>
        <w:t>(01772 531407),</w:t>
      </w:r>
    </w:p>
    <w:p w:rsidR="00772BBA" w14:paraId="301F7999" w14:textId="15BBC834">
      <w:pPr>
        <w:rPr>
          <w:rFonts w:cs="Arial"/>
          <w:sz w:val="22"/>
          <w:szCs w:val="22"/>
        </w:rPr>
      </w:pPr>
      <w:r w:rsidRPr="004E7BE4">
        <w:rPr>
          <w:rFonts w:cs="Arial"/>
          <w:sz w:val="22"/>
          <w:szCs w:val="22"/>
        </w:rPr>
        <w:fldChar w:fldCharType="begin"/>
      </w:r>
      <w:r w:rsidRPr="004E7BE4">
        <w:rPr>
          <w:rFonts w:cs="Arial"/>
          <w:sz w:val="22"/>
          <w:szCs w:val="22"/>
        </w:rPr>
        <w:instrText xml:space="preserve"> DOCPROPERTY  LeadOfficerEmail  \* MERGEFORMAT </w:instrText>
      </w:r>
      <w:r w:rsidRPr="004E7BE4">
        <w:rPr>
          <w:rFonts w:cs="Arial"/>
          <w:sz w:val="22"/>
          <w:szCs w:val="22"/>
        </w:rPr>
        <w:fldChar w:fldCharType="separate"/>
      </w:r>
      <w:r w:rsidRPr="004E7BE4">
        <w:rPr>
          <w:rFonts w:cs="Arial"/>
          <w:sz w:val="22"/>
          <w:szCs w:val="22"/>
        </w:rPr>
        <w:t>christopher.wilkinson@lancashire.gov.uk</w:t>
      </w:r>
      <w:r w:rsidRPr="004E7BE4">
        <w:rPr>
          <w:rFonts w:cs="Arial"/>
          <w:sz w:val="22"/>
          <w:szCs w:val="22"/>
        </w:rPr>
        <w:fldChar w:fldCharType="end"/>
      </w:r>
    </w:p>
    <w:p w:rsidR="003E6A45" w:rsidRPr="004E7BE4" w14:paraId="4288A4D2" w14:textId="77777777">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14:paraId="49849233"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180" w:type="dxa"/>
          </w:tcPr>
          <w:p w:rsidR="003E6A45" w:rsidRPr="004E7BE4" w14:paraId="0F27D5A6" w14:textId="77777777">
            <w:pPr>
              <w:pStyle w:val="Header"/>
              <w:rPr>
                <w:rFonts w:cs="Arial"/>
                <w:sz w:val="22"/>
                <w:szCs w:val="22"/>
              </w:rPr>
            </w:pPr>
          </w:p>
          <w:p w:rsidR="003E6A45" w:rsidRPr="004E7BE4" w14:paraId="063BEE1E" w14:textId="427A345D">
            <w:pPr>
              <w:pStyle w:val="Heading6"/>
              <w:rPr>
                <w:rFonts w:ascii="Arial" w:hAnsi="Arial" w:cs="Arial"/>
                <w:sz w:val="22"/>
                <w:szCs w:val="22"/>
              </w:rPr>
            </w:pPr>
            <w:r w:rsidRPr="004E7BE4">
              <w:rPr>
                <w:rFonts w:ascii="Arial" w:hAnsi="Arial" w:cs="Arial"/>
                <w:sz w:val="22"/>
                <w:szCs w:val="22"/>
              </w:rPr>
              <w:t>Executive Summary</w:t>
            </w:r>
          </w:p>
          <w:p w:rsidR="00557CDA" w:rsidRPr="004E7BE4" w:rsidP="00557CDA" w14:paraId="653798F1" w14:textId="20F3487E">
            <w:pPr>
              <w:rPr>
                <w:rFonts w:cs="Arial"/>
                <w:sz w:val="22"/>
                <w:szCs w:val="22"/>
              </w:rPr>
            </w:pPr>
          </w:p>
          <w:p w:rsidR="00557CDA" w:rsidRPr="004E7BE4" w:rsidP="00557CDA" w14:paraId="3030D5AD" w14:textId="4ADEF5ED">
            <w:pPr>
              <w:rPr>
                <w:rFonts w:cs="Arial"/>
                <w:sz w:val="22"/>
                <w:szCs w:val="22"/>
              </w:rPr>
            </w:pPr>
            <w:r w:rsidRPr="004E7BE4">
              <w:rPr>
                <w:rFonts w:cs="Arial"/>
                <w:sz w:val="22"/>
                <w:szCs w:val="22"/>
              </w:rPr>
              <w:t>The Regulation of Investigatory Powers Act 2000 (RIPA) provides a framework for local authorities, to use covert surveillance techniques for the purposes of undertaking statutory functions in connection with the prevention or detection of crime.</w:t>
            </w:r>
          </w:p>
          <w:p w:rsidR="00557CDA" w:rsidRPr="004E7BE4" w:rsidP="00557CDA" w14:paraId="668D67DA" w14:textId="59D5FF78">
            <w:pPr>
              <w:rPr>
                <w:rFonts w:cs="Arial"/>
                <w:sz w:val="22"/>
                <w:szCs w:val="22"/>
              </w:rPr>
            </w:pPr>
          </w:p>
          <w:p w:rsidR="00557CDA" w:rsidRPr="004E7BE4" w:rsidP="00557CDA" w14:paraId="6E8F6560" w14:textId="63DDB3AD">
            <w:pPr>
              <w:rPr>
                <w:rFonts w:cs="Arial"/>
                <w:sz w:val="22"/>
                <w:szCs w:val="22"/>
              </w:rPr>
            </w:pPr>
            <w:r w:rsidRPr="004E7BE4">
              <w:rPr>
                <w:rFonts w:cs="Arial"/>
                <w:sz w:val="22"/>
                <w:szCs w:val="22"/>
              </w:rPr>
              <w:t xml:space="preserve">Local authorities are subject to regular inspections from the Investigatory Powers Commissioners Office - IPCO.  The next inspection is expected to take place in 2023. </w:t>
            </w:r>
          </w:p>
          <w:p w:rsidR="00557CDA" w:rsidRPr="004E7BE4" w:rsidP="00557CDA" w14:paraId="07E282CC" w14:textId="77777777">
            <w:pPr>
              <w:rPr>
                <w:rFonts w:cs="Arial"/>
                <w:sz w:val="22"/>
                <w:szCs w:val="22"/>
              </w:rPr>
            </w:pPr>
          </w:p>
          <w:p w:rsidR="00557CDA" w:rsidRPr="004E7BE4" w:rsidP="00557CDA" w14:paraId="01B6804E" w14:textId="0E30F98E">
            <w:pPr>
              <w:rPr>
                <w:rFonts w:cs="Arial"/>
                <w:sz w:val="22"/>
                <w:szCs w:val="22"/>
              </w:rPr>
            </w:pPr>
            <w:r w:rsidRPr="004E7BE4">
              <w:rPr>
                <w:rFonts w:cs="Arial"/>
                <w:sz w:val="22"/>
                <w:szCs w:val="22"/>
              </w:rPr>
              <w:t>Members are required to review the use of RIPA and set the policy at least once a year.</w:t>
            </w:r>
          </w:p>
          <w:p w:rsidR="003E6A45" w:rsidRPr="004E7BE4" w14:paraId="442A99D7" w14:textId="77777777">
            <w:pPr>
              <w:rPr>
                <w:rFonts w:cs="Arial"/>
                <w:sz w:val="22"/>
                <w:szCs w:val="22"/>
              </w:rPr>
            </w:pPr>
          </w:p>
          <w:p w:rsidR="003E6A45" w:rsidRPr="004E7BE4" w14:paraId="45D8BE23" w14:textId="77777777">
            <w:pPr>
              <w:pStyle w:val="Heading5"/>
              <w:rPr>
                <w:rFonts w:ascii="Arial" w:hAnsi="Arial" w:cs="Arial"/>
                <w:b w:val="0"/>
                <w:sz w:val="22"/>
                <w:szCs w:val="22"/>
                <w:u w:val="none"/>
              </w:rPr>
            </w:pPr>
            <w:r w:rsidRPr="004E7BE4">
              <w:rPr>
                <w:rFonts w:ascii="Arial" w:hAnsi="Arial" w:cs="Arial"/>
                <w:sz w:val="22"/>
                <w:szCs w:val="22"/>
                <w:u w:val="none"/>
              </w:rPr>
              <w:t>Recommendation</w:t>
            </w:r>
          </w:p>
          <w:p w:rsidR="003E6A45" w:rsidRPr="004E7BE4" w14:paraId="27032F7D" w14:textId="224927F2">
            <w:pPr>
              <w:rPr>
                <w:rFonts w:cs="Arial"/>
                <w:sz w:val="22"/>
                <w:szCs w:val="22"/>
              </w:rPr>
            </w:pPr>
          </w:p>
          <w:p w:rsidR="00557CDA" w:rsidRPr="004E7BE4" w:rsidP="00557CDA" w14:paraId="4A875CEF" w14:textId="4B42E1FE">
            <w:pPr>
              <w:rPr>
                <w:rFonts w:cs="Arial"/>
                <w:sz w:val="22"/>
                <w:szCs w:val="22"/>
              </w:rPr>
            </w:pPr>
            <w:r w:rsidRPr="004E7BE4">
              <w:rPr>
                <w:rFonts w:cs="Arial"/>
                <w:sz w:val="22"/>
                <w:szCs w:val="22"/>
              </w:rPr>
              <w:t>The Committee is asked to:</w:t>
            </w:r>
          </w:p>
          <w:p w:rsidR="00557CDA" w:rsidRPr="004E7BE4" w:rsidP="00557CDA" w14:paraId="5FE4A78F" w14:textId="77777777">
            <w:pPr>
              <w:rPr>
                <w:rFonts w:cs="Arial"/>
                <w:sz w:val="22"/>
                <w:szCs w:val="22"/>
              </w:rPr>
            </w:pPr>
          </w:p>
          <w:p w:rsidR="00557CDA" w:rsidRPr="004E7BE4" w:rsidP="00557CDA" w14:paraId="29632609" w14:textId="77777777">
            <w:pPr>
              <w:pStyle w:val="ListParagraph"/>
              <w:numPr>
                <w:ilvl w:val="0"/>
                <w:numId w:val="3"/>
              </w:numPr>
              <w:rPr>
                <w:rFonts w:ascii="Arial" w:hAnsi="Arial" w:cs="Arial"/>
              </w:rPr>
            </w:pPr>
            <w:r w:rsidRPr="004E7BE4">
              <w:rPr>
                <w:rFonts w:ascii="Arial" w:hAnsi="Arial" w:cs="Arial"/>
              </w:rPr>
              <w:t xml:space="preserve">Approve, with immediate effect, the updated corporate policies on: </w:t>
            </w:r>
          </w:p>
          <w:p w:rsidR="00557CDA" w:rsidRPr="004E7BE4" w:rsidP="00557CDA" w14:paraId="587A7E35" w14:textId="77777777">
            <w:pPr>
              <w:pStyle w:val="ListParagraph"/>
              <w:numPr>
                <w:ilvl w:val="0"/>
                <w:numId w:val="4"/>
              </w:numPr>
              <w:spacing w:after="0" w:line="240" w:lineRule="auto"/>
              <w:rPr>
                <w:rFonts w:ascii="Arial" w:hAnsi="Arial" w:cs="Arial"/>
              </w:rPr>
            </w:pPr>
            <w:r w:rsidRPr="004E7BE4">
              <w:rPr>
                <w:rFonts w:ascii="Arial" w:hAnsi="Arial" w:cs="Arial"/>
              </w:rPr>
              <w:t>RIPA Surveillance</w:t>
            </w:r>
          </w:p>
          <w:p w:rsidR="00557CDA" w:rsidRPr="004E7BE4" w:rsidP="00557CDA" w14:paraId="701A80BC" w14:textId="77777777">
            <w:pPr>
              <w:pStyle w:val="ListParagraph"/>
              <w:numPr>
                <w:ilvl w:val="0"/>
                <w:numId w:val="4"/>
              </w:numPr>
              <w:spacing w:after="0" w:line="240" w:lineRule="auto"/>
              <w:rPr>
                <w:rFonts w:ascii="Arial" w:hAnsi="Arial" w:cs="Arial"/>
              </w:rPr>
            </w:pPr>
            <w:r w:rsidRPr="004E7BE4">
              <w:rPr>
                <w:rFonts w:ascii="Arial" w:hAnsi="Arial" w:cs="Arial"/>
              </w:rPr>
              <w:t>Non-RIPA surveillance</w:t>
            </w:r>
          </w:p>
          <w:p w:rsidR="00557CDA" w:rsidRPr="004E7BE4" w:rsidP="00557CDA" w14:paraId="57386ED0" w14:textId="61BECF10">
            <w:pPr>
              <w:pStyle w:val="ListParagraph"/>
              <w:numPr>
                <w:ilvl w:val="0"/>
                <w:numId w:val="4"/>
              </w:numPr>
              <w:spacing w:after="0" w:line="240" w:lineRule="auto"/>
              <w:rPr>
                <w:rFonts w:ascii="Arial" w:hAnsi="Arial" w:cs="Arial"/>
              </w:rPr>
            </w:pPr>
            <w:r w:rsidRPr="004E7BE4">
              <w:rPr>
                <w:rFonts w:ascii="Arial" w:hAnsi="Arial" w:cs="Arial"/>
              </w:rPr>
              <w:t xml:space="preserve">The use of Social Media and the Internet in investigations </w:t>
            </w:r>
          </w:p>
          <w:p w:rsidR="003E6A45" w:rsidRPr="004E7BE4" w:rsidP="00557CDA" w14:paraId="30F1DBA8" w14:textId="77777777">
            <w:pPr>
              <w:rPr>
                <w:rFonts w:cs="Arial"/>
                <w:sz w:val="22"/>
                <w:szCs w:val="22"/>
              </w:rPr>
            </w:pPr>
          </w:p>
        </w:tc>
      </w:tr>
    </w:tbl>
    <w:p w:rsidR="003E6A45" w:rsidRPr="004E7BE4" w14:paraId="7DE98404" w14:textId="77777777">
      <w:pPr>
        <w:pStyle w:val="Header"/>
        <w:rPr>
          <w:rFonts w:cs="Arial"/>
          <w:sz w:val="22"/>
          <w:szCs w:val="22"/>
        </w:rPr>
      </w:pPr>
    </w:p>
    <w:p w:rsidR="00772BBA" w:rsidRPr="004E7BE4" w:rsidP="00772BBA" w14:paraId="027A9753" w14:textId="3B227497">
      <w:pPr>
        <w:rPr>
          <w:rFonts w:cs="Arial"/>
          <w:b/>
          <w:sz w:val="22"/>
          <w:szCs w:val="22"/>
        </w:rPr>
      </w:pPr>
      <w:r w:rsidRPr="004E7BE4">
        <w:rPr>
          <w:rFonts w:cs="Arial"/>
          <w:b/>
          <w:sz w:val="22"/>
          <w:szCs w:val="22"/>
        </w:rPr>
        <w:t xml:space="preserve">Background and Advice </w:t>
      </w:r>
    </w:p>
    <w:p w:rsidR="00557CDA" w:rsidRPr="004E7BE4" w:rsidP="00772BBA" w14:paraId="33DF884B" w14:textId="217C6B02">
      <w:pPr>
        <w:rPr>
          <w:rFonts w:cs="Arial"/>
          <w:b/>
          <w:sz w:val="22"/>
          <w:szCs w:val="22"/>
        </w:rPr>
      </w:pPr>
    </w:p>
    <w:p w:rsidR="00557CDA" w:rsidRPr="004E7BE4" w:rsidP="00C7755C" w14:paraId="581AB873" w14:textId="455F270B">
      <w:pPr>
        <w:jc w:val="both"/>
        <w:rPr>
          <w:rFonts w:cs="Arial"/>
          <w:sz w:val="22"/>
          <w:szCs w:val="22"/>
        </w:rPr>
      </w:pPr>
      <w:r w:rsidRPr="004E7BE4">
        <w:rPr>
          <w:rFonts w:cs="Arial"/>
          <w:sz w:val="22"/>
          <w:szCs w:val="22"/>
        </w:rPr>
        <w:t xml:space="preserve">RIPA </w:t>
      </w:r>
      <w:r w:rsidRPr="004E7BE4" w:rsidR="00E303EC">
        <w:rPr>
          <w:rFonts w:cs="Arial"/>
          <w:sz w:val="22"/>
          <w:szCs w:val="22"/>
        </w:rPr>
        <w:t>includes the activities of</w:t>
      </w:r>
      <w:r w:rsidRPr="004E7BE4">
        <w:rPr>
          <w:rFonts w:cs="Arial"/>
          <w:sz w:val="22"/>
          <w:szCs w:val="22"/>
        </w:rPr>
        <w:t xml:space="preserve"> directed surveillance, for example the use of recording devices, to record persons suspected of being engaged in criminal activity, where there is a possibility of gaining of private information, and the use of a Covert Human Intelligence Source (CHIS), for example an informant, where the surveillance involves developing a relationship in order to obtain information.</w:t>
      </w:r>
    </w:p>
    <w:p w:rsidR="00E303EC" w:rsidRPr="004E7BE4" w:rsidP="00557CDA" w14:paraId="6E6997F3" w14:textId="63F74601">
      <w:pPr>
        <w:rPr>
          <w:rFonts w:cs="Arial"/>
          <w:sz w:val="22"/>
          <w:szCs w:val="22"/>
        </w:rPr>
      </w:pPr>
    </w:p>
    <w:p w:rsidR="00E303EC" w:rsidRPr="004E7BE4" w:rsidP="00C7755C" w14:paraId="2045709A" w14:textId="36FC1EDC">
      <w:pPr>
        <w:jc w:val="both"/>
        <w:rPr>
          <w:rFonts w:cs="Arial"/>
          <w:sz w:val="22"/>
          <w:szCs w:val="22"/>
        </w:rPr>
      </w:pPr>
      <w:r w:rsidRPr="004E7BE4">
        <w:rPr>
          <w:rFonts w:cs="Arial"/>
          <w:sz w:val="22"/>
          <w:szCs w:val="22"/>
        </w:rPr>
        <w:t>Adopting policies and procedures that comply with RIPA and the associated Codes of Practice and Guidance issued by the Investigatory Powers Commissioners Office (IPCO) and the Home Office provides the local authority with a defence if an individual brings a claim against the local authority alleging that the surveillance breaches their human rights, specifically Article 8, the right to respect for private and family life, home and correspondence.</w:t>
      </w:r>
    </w:p>
    <w:p w:rsidR="00EE461B" w:rsidRPr="004E7BE4" w:rsidP="00C7755C" w14:paraId="0138A8C8" w14:textId="75AF9F60">
      <w:pPr>
        <w:jc w:val="both"/>
        <w:rPr>
          <w:rFonts w:cs="Arial"/>
          <w:sz w:val="22"/>
          <w:szCs w:val="22"/>
        </w:rPr>
      </w:pPr>
    </w:p>
    <w:p w:rsidR="00EE461B" w:rsidRPr="004E7BE4" w:rsidP="00C7755C" w14:paraId="6D8211D8" w14:textId="50559266">
      <w:pPr>
        <w:jc w:val="both"/>
        <w:rPr>
          <w:rFonts w:cs="Arial"/>
          <w:sz w:val="22"/>
          <w:szCs w:val="22"/>
        </w:rPr>
      </w:pPr>
      <w:r w:rsidRPr="004E7BE4">
        <w:rPr>
          <w:rFonts w:cs="Arial"/>
          <w:sz w:val="22"/>
          <w:szCs w:val="22"/>
        </w:rPr>
        <w:t xml:space="preserve">Established processes ensure that applications to conduct covert surveillance activities are authorised by Senior Managers within the Trading Standards Service.  The authorisation process considers the necessity of the surveillance and its </w:t>
      </w:r>
      <w:r w:rsidRPr="004E7BE4" w:rsidR="00BF78DE">
        <w:rPr>
          <w:rFonts w:cs="Arial"/>
          <w:sz w:val="22"/>
          <w:szCs w:val="22"/>
        </w:rPr>
        <w:t>proportionality. If authorised, the application must then be put before a magistrate for approval before the activity can take place</w:t>
      </w:r>
    </w:p>
    <w:p w:rsidR="00EE461B" w:rsidRPr="004E7BE4" w:rsidP="00C7755C" w14:paraId="71A71E4B" w14:textId="77777777">
      <w:pPr>
        <w:jc w:val="both"/>
        <w:rPr>
          <w:rFonts w:cs="Arial"/>
          <w:sz w:val="22"/>
          <w:szCs w:val="22"/>
        </w:rPr>
      </w:pPr>
    </w:p>
    <w:p w:rsidR="00EE461B" w:rsidRPr="004E7BE4" w:rsidP="00C7755C" w14:paraId="13923E92" w14:textId="418DBD6E">
      <w:pPr>
        <w:jc w:val="both"/>
        <w:rPr>
          <w:rFonts w:cs="Arial"/>
          <w:sz w:val="22"/>
          <w:szCs w:val="22"/>
        </w:rPr>
      </w:pPr>
      <w:r w:rsidRPr="004E7BE4">
        <w:rPr>
          <w:rFonts w:cs="Arial"/>
          <w:sz w:val="22"/>
          <w:szCs w:val="22"/>
        </w:rPr>
        <w:t xml:space="preserve">Within the County Council, covert surveillance is used very infrequently and only in connection with Trading Standards activities, typically against rogue traders, counterfeiters or individuals engaged in selling tobacco or alcohol products to children. It is used in cases where it is important to obtain information to support potential criminal proceedings, and only where that information cannot be obtained by any other means. </w:t>
      </w:r>
    </w:p>
    <w:p w:rsidR="00EE461B" w:rsidRPr="004E7BE4" w:rsidP="00C7755C" w14:paraId="104E9AFC" w14:textId="75A902FE">
      <w:pPr>
        <w:jc w:val="both"/>
        <w:rPr>
          <w:rFonts w:cs="Arial"/>
          <w:sz w:val="22"/>
          <w:szCs w:val="22"/>
        </w:rPr>
      </w:pPr>
    </w:p>
    <w:p w:rsidR="00BF78DE" w:rsidRPr="004E7BE4" w:rsidP="00C7755C" w14:paraId="073AF1D6" w14:textId="64D4D04D">
      <w:pPr>
        <w:jc w:val="both"/>
        <w:rPr>
          <w:rFonts w:cs="Arial"/>
          <w:sz w:val="22"/>
          <w:szCs w:val="22"/>
        </w:rPr>
      </w:pPr>
      <w:r w:rsidRPr="004E7BE4">
        <w:rPr>
          <w:rFonts w:cs="Arial"/>
          <w:sz w:val="22"/>
          <w:szCs w:val="22"/>
        </w:rPr>
        <w:t>Members are expected to oversee the use of RIPA and set the policy at least annually. A copy of the Corporate Policy and Guidance on the Regulation of Investigatory Powers Act is attached as Appendix 'A'</w:t>
      </w:r>
    </w:p>
    <w:p w:rsidR="009F4E31" w:rsidRPr="004E7BE4" w:rsidP="00C7755C" w14:paraId="5348014C" w14:textId="0C66ACF6">
      <w:pPr>
        <w:jc w:val="both"/>
        <w:rPr>
          <w:rFonts w:cs="Arial"/>
          <w:sz w:val="22"/>
          <w:szCs w:val="22"/>
        </w:rPr>
      </w:pPr>
    </w:p>
    <w:p w:rsidR="009F4E31" w:rsidRPr="004E7BE4" w:rsidP="00C7755C" w14:paraId="5A05FF81" w14:textId="12DD6F1E">
      <w:pPr>
        <w:jc w:val="both"/>
        <w:rPr>
          <w:rFonts w:cs="Arial"/>
          <w:sz w:val="22"/>
          <w:szCs w:val="22"/>
        </w:rPr>
      </w:pPr>
      <w:r w:rsidRPr="004E7BE4">
        <w:rPr>
          <w:rFonts w:cs="Arial"/>
          <w:sz w:val="22"/>
          <w:szCs w:val="22"/>
        </w:rPr>
        <w:t>Only minor amendments are made</w:t>
      </w:r>
      <w:r w:rsidRPr="004E7BE4" w:rsidR="00BE0DCE">
        <w:rPr>
          <w:rFonts w:cs="Arial"/>
          <w:sz w:val="22"/>
          <w:szCs w:val="22"/>
        </w:rPr>
        <w:t xml:space="preserve"> relating to the </w:t>
      </w:r>
      <w:r w:rsidRPr="004E7BE4" w:rsidR="00F65C64">
        <w:rPr>
          <w:rFonts w:cs="Arial"/>
          <w:sz w:val="22"/>
          <w:szCs w:val="22"/>
        </w:rPr>
        <w:t>duration of</w:t>
      </w:r>
      <w:r w:rsidRPr="004E7BE4" w:rsidR="00BE0DCE">
        <w:rPr>
          <w:rFonts w:cs="Arial"/>
          <w:sz w:val="22"/>
          <w:szCs w:val="22"/>
        </w:rPr>
        <w:t xml:space="preserve"> which a </w:t>
      </w:r>
      <w:r w:rsidRPr="004E7BE4" w:rsidR="00D044DC">
        <w:rPr>
          <w:rFonts w:cs="Arial"/>
          <w:sz w:val="22"/>
          <w:szCs w:val="22"/>
        </w:rPr>
        <w:t xml:space="preserve">juvenile </w:t>
      </w:r>
      <w:r w:rsidRPr="004E7BE4" w:rsidR="00BE0DCE">
        <w:rPr>
          <w:rFonts w:cs="Arial"/>
          <w:sz w:val="22"/>
          <w:szCs w:val="22"/>
        </w:rPr>
        <w:t>CHIS au</w:t>
      </w:r>
      <w:r w:rsidRPr="004E7BE4" w:rsidR="00D044DC">
        <w:rPr>
          <w:rFonts w:cs="Arial"/>
          <w:sz w:val="22"/>
          <w:szCs w:val="22"/>
        </w:rPr>
        <w:t>thorisation can be granted.  Increasing the time</w:t>
      </w:r>
      <w:r w:rsidRPr="004E7BE4" w:rsidR="00F65C64">
        <w:rPr>
          <w:rFonts w:cs="Arial"/>
          <w:sz w:val="22"/>
          <w:szCs w:val="22"/>
        </w:rPr>
        <w:t xml:space="preserve"> 1 month to 4 months bringing the policy </w:t>
      </w:r>
      <w:r w:rsidRPr="004E7BE4" w:rsidR="00F65C64">
        <w:rPr>
          <w:rFonts w:cs="Arial"/>
          <w:sz w:val="22"/>
          <w:szCs w:val="22"/>
        </w:rPr>
        <w:t>inline</w:t>
      </w:r>
      <w:r w:rsidRPr="004E7BE4" w:rsidR="00F65C64">
        <w:rPr>
          <w:rFonts w:cs="Arial"/>
          <w:sz w:val="22"/>
          <w:szCs w:val="22"/>
        </w:rPr>
        <w:t xml:space="preserve"> with the associated code of practice.</w:t>
      </w:r>
    </w:p>
    <w:p w:rsidR="00BF78DE" w:rsidRPr="004E7BE4" w:rsidP="00BF78DE" w14:paraId="37014EFF" w14:textId="48405F5B">
      <w:pPr>
        <w:rPr>
          <w:rFonts w:cs="Arial"/>
          <w:sz w:val="22"/>
          <w:szCs w:val="22"/>
        </w:rPr>
      </w:pPr>
    </w:p>
    <w:p w:rsidR="00BF78DE" w:rsidRPr="004E7BE4" w:rsidP="00BF78DE" w14:paraId="06F1C90E" w14:textId="733B8FB9">
      <w:pPr>
        <w:rPr>
          <w:rFonts w:cs="Arial"/>
          <w:b/>
          <w:bCs/>
          <w:sz w:val="22"/>
          <w:szCs w:val="22"/>
          <w:u w:val="single"/>
        </w:rPr>
      </w:pPr>
      <w:r w:rsidRPr="004E7BE4">
        <w:rPr>
          <w:rFonts w:cs="Arial"/>
          <w:b/>
          <w:bCs/>
          <w:sz w:val="22"/>
          <w:szCs w:val="22"/>
          <w:u w:val="single"/>
        </w:rPr>
        <w:t>RIPA Activity</w:t>
      </w:r>
    </w:p>
    <w:p w:rsidR="00CC1A59" w:rsidRPr="004E7BE4" w:rsidP="00BF78DE" w14:paraId="4F05903D" w14:textId="77777777">
      <w:pPr>
        <w:rPr>
          <w:rFonts w:cs="Arial"/>
          <w:b/>
          <w:bCs/>
          <w:sz w:val="22"/>
          <w:szCs w:val="22"/>
          <w:u w:val="single"/>
        </w:rPr>
      </w:pPr>
    </w:p>
    <w:p w:rsidR="00BF78DE" w:rsidRPr="004E7BE4" w:rsidP="00C7755C" w14:paraId="04BAC8B9" w14:textId="679204B8">
      <w:pPr>
        <w:jc w:val="both"/>
        <w:rPr>
          <w:rFonts w:cs="Arial"/>
          <w:sz w:val="22"/>
          <w:szCs w:val="22"/>
        </w:rPr>
      </w:pPr>
      <w:r w:rsidRPr="004E7BE4">
        <w:rPr>
          <w:rFonts w:cs="Arial"/>
          <w:sz w:val="22"/>
          <w:szCs w:val="22"/>
        </w:rPr>
        <w:t xml:space="preserve">Since the last scrutiny committee report in </w:t>
      </w:r>
      <w:r w:rsidRPr="004E7BE4" w:rsidR="003040DC">
        <w:rPr>
          <w:rFonts w:cs="Arial"/>
          <w:sz w:val="22"/>
          <w:szCs w:val="22"/>
        </w:rPr>
        <w:t>June 2020</w:t>
      </w:r>
      <w:r w:rsidRPr="004E7BE4">
        <w:rPr>
          <w:rFonts w:cs="Arial"/>
          <w:sz w:val="22"/>
          <w:szCs w:val="22"/>
        </w:rPr>
        <w:t xml:space="preserve"> there have been no applications for the use of CHIS or for Directed Surveillance. </w:t>
      </w:r>
    </w:p>
    <w:p w:rsidR="00BF78DE" w:rsidRPr="004E7BE4" w:rsidP="00BF78DE" w14:paraId="7676C191" w14:textId="44ECCB84">
      <w:pPr>
        <w:rPr>
          <w:rFonts w:cs="Arial"/>
          <w:sz w:val="22"/>
          <w:szCs w:val="22"/>
        </w:rPr>
      </w:pPr>
    </w:p>
    <w:p w:rsidR="00BF78DE" w:rsidRPr="004E7BE4" w:rsidP="00BF78DE" w14:paraId="72E05105" w14:textId="0E8431F8">
      <w:pPr>
        <w:rPr>
          <w:rFonts w:cs="Arial"/>
          <w:b/>
          <w:bCs/>
          <w:sz w:val="22"/>
          <w:szCs w:val="22"/>
          <w:u w:val="single"/>
        </w:rPr>
      </w:pPr>
      <w:r w:rsidRPr="004E7BE4">
        <w:rPr>
          <w:rFonts w:cs="Arial"/>
          <w:b/>
          <w:bCs/>
          <w:sz w:val="22"/>
          <w:szCs w:val="22"/>
          <w:u w:val="single"/>
        </w:rPr>
        <w:t>Non RIPA Surveillance</w:t>
      </w:r>
    </w:p>
    <w:p w:rsidR="00CC1A59" w:rsidRPr="004E7BE4" w:rsidP="00BF78DE" w14:paraId="007DC001" w14:textId="77777777">
      <w:pPr>
        <w:rPr>
          <w:rFonts w:cs="Arial"/>
          <w:b/>
          <w:bCs/>
          <w:sz w:val="22"/>
          <w:szCs w:val="22"/>
          <w:u w:val="single"/>
        </w:rPr>
      </w:pPr>
    </w:p>
    <w:p w:rsidR="00BF78DE" w:rsidRPr="004E7BE4" w:rsidP="00C7755C" w14:paraId="332EB088" w14:textId="6FDEE321">
      <w:pPr>
        <w:jc w:val="both"/>
        <w:rPr>
          <w:rFonts w:cs="Arial"/>
          <w:sz w:val="22"/>
          <w:szCs w:val="22"/>
        </w:rPr>
      </w:pPr>
      <w:r w:rsidRPr="004E7BE4">
        <w:rPr>
          <w:rFonts w:cs="Arial"/>
          <w:sz w:val="22"/>
          <w:szCs w:val="22"/>
        </w:rPr>
        <w:t>The authority may also be involved in surveillance activity for other purposes, for which authorisation is not permitted to be sought under the RIPA.</w:t>
      </w:r>
    </w:p>
    <w:p w:rsidR="00BF78DE" w:rsidRPr="004E7BE4" w:rsidP="00C7755C" w14:paraId="6E455D51" w14:textId="22911711">
      <w:pPr>
        <w:jc w:val="both"/>
        <w:rPr>
          <w:rFonts w:cs="Arial"/>
          <w:sz w:val="22"/>
          <w:szCs w:val="22"/>
        </w:rPr>
      </w:pPr>
      <w:r w:rsidRPr="004E7BE4">
        <w:rPr>
          <w:rFonts w:cs="Arial"/>
          <w:sz w:val="22"/>
          <w:szCs w:val="22"/>
        </w:rPr>
        <w:t xml:space="preserve"> </w:t>
      </w:r>
    </w:p>
    <w:p w:rsidR="00BF78DE" w:rsidRPr="004E7BE4" w:rsidP="00C7755C" w14:paraId="7619E4E8" w14:textId="21372494">
      <w:pPr>
        <w:jc w:val="both"/>
        <w:rPr>
          <w:rFonts w:cs="Arial"/>
          <w:sz w:val="22"/>
          <w:szCs w:val="22"/>
        </w:rPr>
      </w:pPr>
      <w:r w:rsidRPr="004E7BE4">
        <w:rPr>
          <w:rFonts w:cs="Arial"/>
          <w:sz w:val="22"/>
          <w:szCs w:val="22"/>
        </w:rPr>
        <w:t xml:space="preserve">Such surveillance could nevertheless leave the authority open to a claim of infringement of the right to privacy and family life, and therefore in such cases the approach of the authority has been to utilise what are called "shadow authorisations", to be put before the Trading Standards Service RIPA authorisers for approval. </w:t>
      </w:r>
    </w:p>
    <w:p w:rsidR="00BF78DE" w:rsidRPr="004E7BE4" w:rsidP="00C7755C" w14:paraId="5B830D11" w14:textId="77777777">
      <w:pPr>
        <w:jc w:val="both"/>
        <w:rPr>
          <w:rFonts w:cs="Arial"/>
          <w:sz w:val="22"/>
          <w:szCs w:val="22"/>
        </w:rPr>
      </w:pPr>
    </w:p>
    <w:p w:rsidR="00BF78DE" w:rsidRPr="004E7BE4" w:rsidP="00C7755C" w14:paraId="5A6F9B7B" w14:textId="3C5C1C87">
      <w:pPr>
        <w:jc w:val="both"/>
        <w:rPr>
          <w:rFonts w:cs="Arial"/>
          <w:sz w:val="22"/>
          <w:szCs w:val="22"/>
        </w:rPr>
      </w:pPr>
      <w:r w:rsidRPr="004E7BE4">
        <w:rPr>
          <w:rFonts w:cs="Arial"/>
          <w:sz w:val="22"/>
          <w:szCs w:val="22"/>
        </w:rPr>
        <w:t xml:space="preserve">Such activity may include surveillance in relation to child protection work, and use of social media to obtain information, or serious allegations of employee misconduct. </w:t>
      </w:r>
    </w:p>
    <w:p w:rsidR="00BF78DE" w:rsidRPr="004E7BE4" w:rsidP="00C7755C" w14:paraId="096F69CA" w14:textId="77777777">
      <w:pPr>
        <w:jc w:val="both"/>
        <w:rPr>
          <w:rFonts w:cs="Arial"/>
          <w:sz w:val="22"/>
          <w:szCs w:val="22"/>
        </w:rPr>
      </w:pPr>
    </w:p>
    <w:p w:rsidR="00BF78DE" w:rsidRPr="004E7BE4" w:rsidP="00C7755C" w14:paraId="06AC99A0" w14:textId="77B51378">
      <w:pPr>
        <w:jc w:val="both"/>
        <w:rPr>
          <w:rFonts w:cs="Arial"/>
          <w:sz w:val="22"/>
          <w:szCs w:val="22"/>
        </w:rPr>
      </w:pPr>
      <w:r w:rsidRPr="004E7BE4">
        <w:rPr>
          <w:rFonts w:cs="Arial"/>
          <w:sz w:val="22"/>
          <w:szCs w:val="22"/>
        </w:rPr>
        <w:t xml:space="preserve">Shadow authorisations are rare. </w:t>
      </w:r>
      <w:r w:rsidRPr="004E7BE4" w:rsidR="003040DC">
        <w:rPr>
          <w:rFonts w:cs="Arial"/>
          <w:sz w:val="22"/>
          <w:szCs w:val="22"/>
        </w:rPr>
        <w:t>A corporate policy on their use has previously been adopted to promote consistency of application and ensure the principles of necessity and proportionality are considered.</w:t>
      </w:r>
      <w:r w:rsidRPr="004E7BE4">
        <w:rPr>
          <w:rFonts w:cs="Arial"/>
          <w:sz w:val="22"/>
          <w:szCs w:val="22"/>
        </w:rPr>
        <w:t xml:space="preserve"> </w:t>
      </w:r>
    </w:p>
    <w:p w:rsidR="00BF78DE" w:rsidRPr="004E7BE4" w:rsidP="00C7755C" w14:paraId="5975FFA8" w14:textId="77777777">
      <w:pPr>
        <w:jc w:val="both"/>
        <w:rPr>
          <w:rFonts w:cs="Arial"/>
          <w:sz w:val="22"/>
          <w:szCs w:val="22"/>
        </w:rPr>
      </w:pPr>
    </w:p>
    <w:p w:rsidR="00BF78DE" w:rsidRPr="004E7BE4" w:rsidP="00C7755C" w14:paraId="268E3DBB" w14:textId="1930943E">
      <w:pPr>
        <w:jc w:val="both"/>
        <w:rPr>
          <w:rFonts w:cs="Arial"/>
          <w:sz w:val="22"/>
          <w:szCs w:val="22"/>
        </w:rPr>
      </w:pPr>
      <w:r w:rsidRPr="004E7BE4">
        <w:rPr>
          <w:rFonts w:cs="Arial"/>
          <w:sz w:val="22"/>
          <w:szCs w:val="22"/>
        </w:rPr>
        <w:t>A copy of the Shadow RIPA Surveillance Corporate Policy is attached as Appendix B.</w:t>
      </w:r>
      <w:r w:rsidRPr="004E7BE4" w:rsidR="0042763F">
        <w:rPr>
          <w:rFonts w:cs="Arial"/>
          <w:sz w:val="22"/>
          <w:szCs w:val="22"/>
        </w:rPr>
        <w:t xml:space="preserve">  There are no significant changes to this policy</w:t>
      </w:r>
      <w:r w:rsidRPr="004E7BE4" w:rsidR="000A74B6">
        <w:rPr>
          <w:rFonts w:cs="Arial"/>
          <w:sz w:val="22"/>
          <w:szCs w:val="22"/>
        </w:rPr>
        <w:t xml:space="preserve"> since the last review.</w:t>
      </w:r>
    </w:p>
    <w:p w:rsidR="003040DC" w:rsidRPr="004E7BE4" w:rsidP="00BF78DE" w14:paraId="164400C6" w14:textId="77777777">
      <w:pPr>
        <w:rPr>
          <w:rFonts w:cs="Arial"/>
          <w:sz w:val="22"/>
          <w:szCs w:val="22"/>
        </w:rPr>
      </w:pPr>
    </w:p>
    <w:p w:rsidR="00BF78DE" w:rsidRPr="004E7BE4" w:rsidP="00BF78DE" w14:paraId="39E30806" w14:textId="600AEC8D">
      <w:pPr>
        <w:rPr>
          <w:rFonts w:cs="Arial"/>
          <w:sz w:val="22"/>
          <w:szCs w:val="22"/>
        </w:rPr>
      </w:pPr>
      <w:r w:rsidRPr="004E7BE4">
        <w:rPr>
          <w:rFonts w:cs="Arial"/>
          <w:b/>
          <w:bCs/>
          <w:sz w:val="22"/>
          <w:szCs w:val="22"/>
          <w:u w:val="single"/>
        </w:rPr>
        <w:t>Shadow RIPA Activity</w:t>
      </w:r>
      <w:r w:rsidRPr="004E7BE4">
        <w:rPr>
          <w:rFonts w:cs="Arial"/>
          <w:sz w:val="22"/>
          <w:szCs w:val="22"/>
        </w:rPr>
        <w:t xml:space="preserve"> </w:t>
      </w:r>
    </w:p>
    <w:p w:rsidR="00CC1A59" w:rsidRPr="004E7BE4" w:rsidP="00BF78DE" w14:paraId="1E21B75D" w14:textId="77777777">
      <w:pPr>
        <w:rPr>
          <w:rFonts w:cs="Arial"/>
          <w:sz w:val="22"/>
          <w:szCs w:val="22"/>
        </w:rPr>
      </w:pPr>
    </w:p>
    <w:p w:rsidR="00BF78DE" w:rsidRPr="004E7BE4" w:rsidP="00C7755C" w14:paraId="4B4859E6" w14:textId="40C81F61">
      <w:pPr>
        <w:jc w:val="both"/>
        <w:rPr>
          <w:rFonts w:cs="Arial"/>
          <w:sz w:val="22"/>
          <w:szCs w:val="22"/>
        </w:rPr>
      </w:pPr>
      <w:r w:rsidRPr="004E7BE4">
        <w:rPr>
          <w:rFonts w:cs="Arial"/>
          <w:sz w:val="22"/>
          <w:szCs w:val="22"/>
        </w:rPr>
        <w:t>N</w:t>
      </w:r>
      <w:r w:rsidRPr="004E7BE4" w:rsidR="0098568E">
        <w:rPr>
          <w:rFonts w:cs="Arial"/>
          <w:sz w:val="22"/>
          <w:szCs w:val="22"/>
        </w:rPr>
        <w:t>o</w:t>
      </w:r>
      <w:r w:rsidRPr="004E7BE4">
        <w:rPr>
          <w:rFonts w:cs="Arial"/>
          <w:sz w:val="22"/>
          <w:szCs w:val="22"/>
        </w:rPr>
        <w:t xml:space="preserve"> </w:t>
      </w:r>
      <w:r w:rsidRPr="004E7BE4">
        <w:rPr>
          <w:rFonts w:cs="Arial"/>
          <w:sz w:val="22"/>
          <w:szCs w:val="22"/>
        </w:rPr>
        <w:t>shadow authorisations have been granted since the last scrutiny report in J</w:t>
      </w:r>
      <w:r w:rsidRPr="004E7BE4">
        <w:rPr>
          <w:rFonts w:cs="Arial"/>
          <w:sz w:val="22"/>
          <w:szCs w:val="22"/>
        </w:rPr>
        <w:t>une 2020</w:t>
      </w:r>
      <w:r w:rsidRPr="004E7BE4">
        <w:rPr>
          <w:rFonts w:cs="Arial"/>
          <w:sz w:val="22"/>
          <w:szCs w:val="22"/>
        </w:rPr>
        <w:t xml:space="preserve">. </w:t>
      </w:r>
    </w:p>
    <w:p w:rsidR="00DC2D74" w:rsidP="00093397" w14:paraId="1C9522D1" w14:textId="77777777">
      <w:pPr>
        <w:rPr>
          <w:b/>
          <w:bCs/>
          <w:sz w:val="22"/>
          <w:szCs w:val="22"/>
          <w:u w:val="single"/>
        </w:rPr>
      </w:pPr>
    </w:p>
    <w:p w:rsidR="00093397" w:rsidRPr="004E7BE4" w:rsidP="00093397" w14:paraId="287B76BC" w14:textId="709B9AF8">
      <w:pPr>
        <w:rPr>
          <w:b/>
          <w:bCs/>
          <w:sz w:val="22"/>
          <w:szCs w:val="22"/>
          <w:u w:val="single"/>
        </w:rPr>
      </w:pPr>
      <w:r w:rsidRPr="004E7BE4">
        <w:rPr>
          <w:b/>
          <w:bCs/>
          <w:sz w:val="22"/>
          <w:szCs w:val="22"/>
          <w:u w:val="single"/>
        </w:rPr>
        <w:t>Social Media and Covert Surveillance Policy</w:t>
      </w:r>
    </w:p>
    <w:p w:rsidR="00CC1A59" w:rsidRPr="004E7BE4" w:rsidP="00093397" w14:paraId="56C85FAA" w14:textId="77777777">
      <w:pPr>
        <w:rPr>
          <w:sz w:val="22"/>
          <w:szCs w:val="22"/>
        </w:rPr>
      </w:pPr>
    </w:p>
    <w:p w:rsidR="00C124F2" w:rsidRPr="004E7BE4" w:rsidP="00C7755C" w14:paraId="1B71BA3E" w14:textId="03DC42D6">
      <w:pPr>
        <w:jc w:val="both"/>
        <w:rPr>
          <w:sz w:val="22"/>
          <w:szCs w:val="22"/>
        </w:rPr>
      </w:pPr>
      <w:r w:rsidRPr="004E7BE4">
        <w:rPr>
          <w:sz w:val="22"/>
          <w:szCs w:val="22"/>
        </w:rPr>
        <w:t>In response</w:t>
      </w:r>
      <w:r w:rsidRPr="004E7BE4" w:rsidR="00381247">
        <w:rPr>
          <w:sz w:val="22"/>
          <w:szCs w:val="22"/>
        </w:rPr>
        <w:t xml:space="preserve"> </w:t>
      </w:r>
      <w:r w:rsidR="00DC2D74">
        <w:rPr>
          <w:sz w:val="22"/>
          <w:szCs w:val="22"/>
        </w:rPr>
        <w:t xml:space="preserve">to </w:t>
      </w:r>
      <w:r w:rsidRPr="004E7BE4" w:rsidR="00381247">
        <w:rPr>
          <w:sz w:val="22"/>
          <w:szCs w:val="22"/>
        </w:rPr>
        <w:t>guidance issued by the Home Office and by the IPCO LCC implemented a 'Social Media and Covert Surveillance Policy</w:t>
      </w:r>
      <w:r w:rsidRPr="004E7BE4" w:rsidR="00404DE7">
        <w:rPr>
          <w:sz w:val="22"/>
          <w:szCs w:val="22"/>
        </w:rPr>
        <w:t>'.</w:t>
      </w:r>
      <w:r w:rsidRPr="004E7BE4" w:rsidR="00115CD4">
        <w:rPr>
          <w:sz w:val="22"/>
          <w:szCs w:val="22"/>
        </w:rPr>
        <w:t xml:space="preserve">  </w:t>
      </w:r>
    </w:p>
    <w:p w:rsidR="00C124F2" w:rsidRPr="004E7BE4" w:rsidP="00C7755C" w14:paraId="7F04BA0A" w14:textId="77777777">
      <w:pPr>
        <w:jc w:val="both"/>
        <w:rPr>
          <w:sz w:val="22"/>
          <w:szCs w:val="22"/>
        </w:rPr>
      </w:pPr>
    </w:p>
    <w:p w:rsidR="00103A17" w:rsidRPr="004E7BE4" w:rsidP="00C7755C" w14:paraId="4AC4475C" w14:textId="56150E02">
      <w:pPr>
        <w:jc w:val="both"/>
        <w:rPr>
          <w:sz w:val="22"/>
          <w:szCs w:val="22"/>
        </w:rPr>
      </w:pPr>
      <w:r w:rsidRPr="004E7BE4">
        <w:rPr>
          <w:sz w:val="22"/>
          <w:szCs w:val="22"/>
        </w:rPr>
        <w:t>Increasingly the use of social media means that a wide range of personal information posted by individuals is available online.</w:t>
      </w:r>
      <w:r w:rsidRPr="004E7BE4" w:rsidR="00156085">
        <w:rPr>
          <w:sz w:val="22"/>
          <w:szCs w:val="22"/>
        </w:rPr>
        <w:t xml:space="preserve">  Where the authority intends to search for information and </w:t>
      </w:r>
      <w:r w:rsidRPr="004E7BE4" w:rsidR="00156085">
        <w:rPr>
          <w:sz w:val="22"/>
          <w:szCs w:val="22"/>
        </w:rPr>
        <w:t xml:space="preserve">use it in connection </w:t>
      </w:r>
      <w:r w:rsidRPr="004E7BE4">
        <w:rPr>
          <w:sz w:val="22"/>
          <w:szCs w:val="22"/>
        </w:rPr>
        <w:t xml:space="preserve">with our </w:t>
      </w:r>
      <w:r w:rsidRPr="004E7BE4" w:rsidR="008A268E">
        <w:rPr>
          <w:sz w:val="22"/>
          <w:szCs w:val="22"/>
        </w:rPr>
        <w:t>investigations,</w:t>
      </w:r>
      <w:r w:rsidRPr="004E7BE4" w:rsidR="007E5D69">
        <w:rPr>
          <w:sz w:val="22"/>
          <w:szCs w:val="22"/>
        </w:rPr>
        <w:t xml:space="preserve"> we must ensure that the relevant provisions of RIPA are considered and that appropriate authorisations are obtained where necessary.</w:t>
      </w:r>
    </w:p>
    <w:p w:rsidR="007E5D69" w:rsidRPr="004E7BE4" w:rsidP="00C7755C" w14:paraId="3A620B1B" w14:textId="77777777">
      <w:pPr>
        <w:jc w:val="both"/>
        <w:rPr>
          <w:sz w:val="22"/>
          <w:szCs w:val="22"/>
        </w:rPr>
      </w:pPr>
    </w:p>
    <w:p w:rsidR="00447408" w:rsidRPr="004E7BE4" w:rsidP="00C7755C" w14:paraId="1A6DF094" w14:textId="77777777">
      <w:pPr>
        <w:jc w:val="both"/>
        <w:rPr>
          <w:sz w:val="22"/>
          <w:szCs w:val="22"/>
        </w:rPr>
      </w:pPr>
      <w:r w:rsidRPr="004E7BE4">
        <w:rPr>
          <w:sz w:val="22"/>
          <w:szCs w:val="22"/>
        </w:rPr>
        <w:t xml:space="preserve">This applies to investigations concerning the </w:t>
      </w:r>
      <w:r w:rsidRPr="004E7BE4" w:rsidR="00156085">
        <w:rPr>
          <w:sz w:val="22"/>
          <w:szCs w:val="22"/>
        </w:rPr>
        <w:t>prevention or detection of crime, or for the purpose of other investigations connected with employee misconduct or child protection matters for example</w:t>
      </w:r>
      <w:r w:rsidRPr="004E7BE4" w:rsidR="00136DC1">
        <w:rPr>
          <w:sz w:val="22"/>
          <w:szCs w:val="22"/>
        </w:rPr>
        <w:t>.</w:t>
      </w:r>
      <w:r w:rsidRPr="004E7BE4" w:rsidR="005142CF">
        <w:rPr>
          <w:sz w:val="22"/>
          <w:szCs w:val="22"/>
        </w:rPr>
        <w:t xml:space="preserve"> </w:t>
      </w:r>
    </w:p>
    <w:p w:rsidR="000A74B6" w:rsidRPr="004E7BE4" w:rsidP="00C7755C" w14:paraId="16A0E183" w14:textId="34F810CB">
      <w:pPr>
        <w:jc w:val="both"/>
        <w:rPr>
          <w:rFonts w:cs="Arial"/>
          <w:sz w:val="22"/>
          <w:szCs w:val="22"/>
        </w:rPr>
      </w:pPr>
    </w:p>
    <w:p w:rsidR="000A74B6" w:rsidRPr="004E7BE4" w:rsidP="00C7755C" w14:paraId="2BA90A0C" w14:textId="546E4610">
      <w:pPr>
        <w:jc w:val="both"/>
        <w:rPr>
          <w:rFonts w:cs="Arial"/>
          <w:sz w:val="22"/>
          <w:szCs w:val="22"/>
        </w:rPr>
      </w:pPr>
      <w:r w:rsidRPr="004E7BE4">
        <w:rPr>
          <w:rFonts w:cs="Arial"/>
          <w:sz w:val="22"/>
          <w:szCs w:val="22"/>
        </w:rPr>
        <w:t xml:space="preserve">This policy is also reviewed annually.  </w:t>
      </w:r>
      <w:r w:rsidRPr="004E7BE4">
        <w:rPr>
          <w:rFonts w:cs="Arial"/>
          <w:sz w:val="22"/>
          <w:szCs w:val="22"/>
        </w:rPr>
        <w:t>There are no significant changes to this policy since the last review.</w:t>
      </w:r>
      <w:r w:rsidRPr="004E7BE4">
        <w:rPr>
          <w:rFonts w:cs="Arial"/>
          <w:sz w:val="22"/>
          <w:szCs w:val="22"/>
        </w:rPr>
        <w:t xml:space="preserve">  A copy of this is attached as Appendix C.</w:t>
      </w:r>
    </w:p>
    <w:p w:rsidR="00B065DF" w:rsidRPr="004E7BE4" w:rsidP="00C7755C" w14:paraId="2582A7F5" w14:textId="20723B2C">
      <w:pPr>
        <w:jc w:val="both"/>
        <w:rPr>
          <w:rFonts w:cs="Arial"/>
          <w:sz w:val="22"/>
          <w:szCs w:val="22"/>
        </w:rPr>
      </w:pPr>
    </w:p>
    <w:p w:rsidR="00B065DF" w:rsidRPr="004E7BE4" w:rsidP="00C7755C" w14:paraId="15F3781F" w14:textId="77777777">
      <w:pPr>
        <w:jc w:val="both"/>
        <w:rPr>
          <w:sz w:val="22"/>
          <w:szCs w:val="22"/>
        </w:rPr>
      </w:pPr>
      <w:r w:rsidRPr="004E7BE4">
        <w:rPr>
          <w:b/>
          <w:bCs/>
          <w:sz w:val="22"/>
          <w:szCs w:val="22"/>
          <w:u w:val="single"/>
        </w:rPr>
        <w:t>IPCO Inspection</w:t>
      </w:r>
    </w:p>
    <w:p w:rsidR="00B065DF" w:rsidRPr="004E7BE4" w:rsidP="00C7755C" w14:paraId="0A4F716B" w14:textId="77777777">
      <w:pPr>
        <w:jc w:val="both"/>
        <w:rPr>
          <w:sz w:val="22"/>
          <w:szCs w:val="22"/>
        </w:rPr>
      </w:pPr>
    </w:p>
    <w:p w:rsidR="00B065DF" w:rsidRPr="004E7BE4" w:rsidP="00C7755C" w14:paraId="5954C04E" w14:textId="644412C8">
      <w:pPr>
        <w:jc w:val="both"/>
        <w:rPr>
          <w:rFonts w:cs="Arial"/>
          <w:sz w:val="22"/>
          <w:szCs w:val="22"/>
        </w:rPr>
      </w:pPr>
      <w:r w:rsidRPr="004E7BE4">
        <w:rPr>
          <w:sz w:val="22"/>
          <w:szCs w:val="22"/>
        </w:rPr>
        <w:t>IPCO inspect local authorities every 3 years and examine a sample of authorisations which have been granted in the period since the last inspection.</w:t>
      </w:r>
      <w:r w:rsidRPr="004E7BE4" w:rsidR="00111665">
        <w:rPr>
          <w:sz w:val="22"/>
          <w:szCs w:val="22"/>
        </w:rPr>
        <w:t xml:space="preserve">  The last inspection was completed virtually in March 2020.  </w:t>
      </w:r>
      <w:r w:rsidRPr="004E7BE4" w:rsidR="00316C1B">
        <w:rPr>
          <w:sz w:val="22"/>
          <w:szCs w:val="22"/>
        </w:rPr>
        <w:t xml:space="preserve">A recommendation was made that training </w:t>
      </w:r>
      <w:r w:rsidRPr="004E7BE4" w:rsidR="00305967">
        <w:rPr>
          <w:sz w:val="22"/>
          <w:szCs w:val="22"/>
        </w:rPr>
        <w:t>should be</w:t>
      </w:r>
      <w:r w:rsidRPr="004E7BE4" w:rsidR="00316C1B">
        <w:rPr>
          <w:sz w:val="22"/>
          <w:szCs w:val="22"/>
        </w:rPr>
        <w:t xml:space="preserve"> refreshed </w:t>
      </w:r>
      <w:r w:rsidRPr="004E7BE4" w:rsidR="00305967">
        <w:rPr>
          <w:sz w:val="22"/>
          <w:szCs w:val="22"/>
        </w:rPr>
        <w:t>for</w:t>
      </w:r>
      <w:r w:rsidRPr="004E7BE4" w:rsidR="00316C1B">
        <w:rPr>
          <w:sz w:val="22"/>
          <w:szCs w:val="22"/>
        </w:rPr>
        <w:t xml:space="preserve"> relevant Officers.  It is expected that this training will be c</w:t>
      </w:r>
      <w:r w:rsidRPr="004E7BE4" w:rsidR="002B51BD">
        <w:rPr>
          <w:sz w:val="22"/>
          <w:szCs w:val="22"/>
        </w:rPr>
        <w:t xml:space="preserve">ompleted in the current financial year and initial </w:t>
      </w:r>
      <w:r w:rsidRPr="004E7BE4" w:rsidR="00B6033B">
        <w:rPr>
          <w:sz w:val="22"/>
          <w:szCs w:val="22"/>
        </w:rPr>
        <w:t>enquiries have been made with training providers.</w:t>
      </w:r>
    </w:p>
    <w:p w:rsidR="00772BBA" w:rsidRPr="004E7BE4" w14:paraId="6C29C10A" w14:textId="77777777">
      <w:pPr>
        <w:pStyle w:val="Heading1"/>
        <w:rPr>
          <w:rFonts w:cs="Arial"/>
          <w:sz w:val="22"/>
          <w:szCs w:val="22"/>
        </w:rPr>
      </w:pPr>
    </w:p>
    <w:p w:rsidR="003E6A45" w:rsidRPr="004E7BE4" w14:paraId="18DF8BC1" w14:textId="77777777">
      <w:pPr>
        <w:pStyle w:val="Heading1"/>
        <w:rPr>
          <w:rFonts w:cs="Arial"/>
          <w:sz w:val="22"/>
          <w:szCs w:val="22"/>
        </w:rPr>
      </w:pPr>
      <w:r w:rsidRPr="004E7BE4">
        <w:rPr>
          <w:rFonts w:cs="Arial"/>
          <w:sz w:val="22"/>
          <w:szCs w:val="22"/>
        </w:rPr>
        <w:t>Consultations</w:t>
      </w:r>
    </w:p>
    <w:p w:rsidR="003E6A45" w:rsidRPr="004E7BE4" w14:paraId="53012CF9" w14:textId="77777777">
      <w:pPr>
        <w:pStyle w:val="Header"/>
        <w:rPr>
          <w:rFonts w:cs="Arial"/>
          <w:sz w:val="22"/>
          <w:szCs w:val="22"/>
        </w:rPr>
      </w:pPr>
    </w:p>
    <w:p w:rsidR="003E6A45" w:rsidRPr="004E7BE4" w14:paraId="6F273FB2" w14:textId="73F37893">
      <w:pPr>
        <w:rPr>
          <w:rFonts w:cs="Arial"/>
          <w:sz w:val="22"/>
          <w:szCs w:val="22"/>
        </w:rPr>
      </w:pPr>
      <w:r w:rsidRPr="004E7BE4">
        <w:rPr>
          <w:rFonts w:cs="Arial"/>
          <w:sz w:val="22"/>
          <w:szCs w:val="22"/>
        </w:rPr>
        <w:t>N/A</w:t>
      </w:r>
    </w:p>
    <w:p w:rsidR="003E6A45" w:rsidRPr="004E7BE4" w14:paraId="4FC37770" w14:textId="77777777">
      <w:pPr>
        <w:rPr>
          <w:rFonts w:cs="Arial"/>
          <w:sz w:val="22"/>
          <w:szCs w:val="22"/>
        </w:rPr>
      </w:pPr>
    </w:p>
    <w:p w:rsidR="00772BBA" w:rsidRPr="004E7BE4" w:rsidP="00772BBA" w14:paraId="18C9F38F" w14:textId="77777777">
      <w:pPr>
        <w:rPr>
          <w:rFonts w:cs="Arial"/>
          <w:sz w:val="22"/>
          <w:szCs w:val="22"/>
        </w:rPr>
      </w:pPr>
      <w:r w:rsidRPr="004E7BE4">
        <w:rPr>
          <w:rFonts w:cs="Arial"/>
          <w:b/>
          <w:sz w:val="22"/>
          <w:szCs w:val="22"/>
        </w:rPr>
        <w:t>Implications</w:t>
      </w:r>
      <w:r w:rsidRPr="004E7BE4">
        <w:rPr>
          <w:rFonts w:cs="Arial"/>
          <w:sz w:val="22"/>
          <w:szCs w:val="22"/>
        </w:rPr>
        <w:t xml:space="preserve">: </w:t>
      </w:r>
    </w:p>
    <w:p w:rsidR="00772BBA" w:rsidRPr="004E7BE4" w:rsidP="00772BBA" w14:paraId="16916FB2" w14:textId="77777777">
      <w:pPr>
        <w:rPr>
          <w:rFonts w:cs="Arial"/>
          <w:sz w:val="22"/>
          <w:szCs w:val="22"/>
        </w:rPr>
      </w:pPr>
    </w:p>
    <w:p w:rsidR="00772BBA" w:rsidRPr="004E7BE4" w:rsidP="00772BBA" w14:paraId="6476C2B9" w14:textId="77777777">
      <w:pPr>
        <w:rPr>
          <w:rFonts w:cs="Arial"/>
          <w:sz w:val="22"/>
          <w:szCs w:val="22"/>
        </w:rPr>
      </w:pPr>
      <w:r w:rsidRPr="004E7BE4">
        <w:rPr>
          <w:rFonts w:cs="Arial"/>
          <w:sz w:val="22"/>
          <w:szCs w:val="22"/>
        </w:rPr>
        <w:t>This item has the following implications, as indicated:</w:t>
      </w:r>
    </w:p>
    <w:p w:rsidR="009B61F1" w:rsidRPr="004E7BE4" w:rsidP="00772BBA" w14:paraId="3B1922DA" w14:textId="77777777">
      <w:pPr>
        <w:rPr>
          <w:rFonts w:cs="Arial"/>
          <w:b/>
          <w:sz w:val="22"/>
          <w:szCs w:val="22"/>
        </w:rPr>
      </w:pPr>
    </w:p>
    <w:p w:rsidR="00772BBA" w:rsidRPr="004E7BE4" w:rsidP="00772BBA" w14:paraId="4E5AD166" w14:textId="77777777">
      <w:pPr>
        <w:rPr>
          <w:rFonts w:cs="Arial"/>
          <w:b/>
          <w:sz w:val="22"/>
          <w:szCs w:val="22"/>
        </w:rPr>
      </w:pPr>
      <w:r w:rsidRPr="004E7BE4">
        <w:rPr>
          <w:rFonts w:cs="Arial"/>
          <w:b/>
          <w:sz w:val="22"/>
          <w:szCs w:val="22"/>
        </w:rPr>
        <w:t>Risk management</w:t>
      </w:r>
    </w:p>
    <w:p w:rsidR="00772BBA" w:rsidRPr="004E7BE4" w:rsidP="00772BBA" w14:paraId="0D20057B" w14:textId="77777777">
      <w:pPr>
        <w:rPr>
          <w:rFonts w:cs="Arial"/>
          <w:sz w:val="22"/>
          <w:szCs w:val="22"/>
        </w:rPr>
      </w:pPr>
    </w:p>
    <w:p w:rsidR="009D2945" w:rsidRPr="004E7BE4" w:rsidP="009D2945" w14:paraId="58297120" w14:textId="10573BC8">
      <w:pPr>
        <w:rPr>
          <w:sz w:val="22"/>
          <w:szCs w:val="22"/>
        </w:rPr>
      </w:pPr>
      <w:r w:rsidRPr="004E7BE4">
        <w:rPr>
          <w:sz w:val="22"/>
          <w:szCs w:val="22"/>
        </w:rPr>
        <w:t>The use of RIPA, where permitted, provides a defence to a local authority where an individual alleges that their human rights have been contravened.</w:t>
      </w:r>
    </w:p>
    <w:p w:rsidR="009D2945" w:rsidRPr="004E7BE4" w:rsidP="009D2945" w14:paraId="7D9D21F2" w14:textId="77777777">
      <w:pPr>
        <w:rPr>
          <w:sz w:val="22"/>
          <w:szCs w:val="22"/>
        </w:rPr>
      </w:pPr>
    </w:p>
    <w:p w:rsidR="009D2945" w:rsidRPr="004E7BE4" w:rsidP="009D2945" w14:paraId="48E5CF9C" w14:textId="102C4D42">
      <w:pPr>
        <w:rPr>
          <w:sz w:val="22"/>
          <w:szCs w:val="22"/>
        </w:rPr>
      </w:pPr>
      <w:r w:rsidRPr="004E7BE4">
        <w:rPr>
          <w:sz w:val="22"/>
          <w:szCs w:val="22"/>
        </w:rPr>
        <w:t xml:space="preserve">Non RIPA surveillance is subject to a similar process within LCC, which will enable the authority to show that it has appropriately considered necessity and proportionality in any case where there is an allegation that human rights have been breached in a situation not involving the prevention and detection of crime. </w:t>
      </w:r>
    </w:p>
    <w:p w:rsidR="009D2945" w:rsidRPr="004E7BE4" w:rsidP="009D2945" w14:paraId="0E9C98B3" w14:textId="77777777">
      <w:pPr>
        <w:rPr>
          <w:sz w:val="22"/>
          <w:szCs w:val="22"/>
        </w:rPr>
      </w:pPr>
    </w:p>
    <w:p w:rsidR="009D2945" w:rsidRPr="004E7BE4" w:rsidP="009D2945" w14:paraId="335A7E98" w14:textId="77777777">
      <w:pPr>
        <w:rPr>
          <w:sz w:val="22"/>
          <w:szCs w:val="22"/>
        </w:rPr>
      </w:pPr>
      <w:r w:rsidRPr="004E7BE4">
        <w:rPr>
          <w:sz w:val="22"/>
          <w:szCs w:val="22"/>
        </w:rPr>
        <w:t xml:space="preserve">Guidance on the use of social media in investigations will ensure that an individual's human rights are considered in the context of the use of information published by the individual online. </w:t>
      </w:r>
    </w:p>
    <w:p w:rsidR="00772BBA" w:rsidRPr="004E7BE4" w:rsidP="00772BBA" w14:paraId="445C99DF" w14:textId="41BB49D9">
      <w:pPr>
        <w:rPr>
          <w:rFonts w:cs="Arial"/>
          <w:sz w:val="22"/>
          <w:szCs w:val="22"/>
        </w:rPr>
      </w:pPr>
    </w:p>
    <w:p w:rsidR="00CC1A59" w:rsidRPr="004E7BE4" w:rsidP="00CC1A59" w14:paraId="0BDDCDCF" w14:textId="111148F1">
      <w:pPr>
        <w:rPr>
          <w:b/>
          <w:bCs/>
          <w:sz w:val="22"/>
          <w:szCs w:val="22"/>
        </w:rPr>
      </w:pPr>
      <w:r w:rsidRPr="004E7BE4">
        <w:rPr>
          <w:b/>
          <w:bCs/>
          <w:sz w:val="22"/>
          <w:szCs w:val="22"/>
        </w:rPr>
        <w:t xml:space="preserve">Financial </w:t>
      </w:r>
    </w:p>
    <w:p w:rsidR="008021CD" w:rsidRPr="004E7BE4" w:rsidP="00CC1A59" w14:paraId="5F280AB5" w14:textId="77777777">
      <w:pPr>
        <w:rPr>
          <w:b/>
          <w:bCs/>
          <w:sz w:val="22"/>
          <w:szCs w:val="22"/>
        </w:rPr>
      </w:pPr>
    </w:p>
    <w:p w:rsidR="00CC1A59" w:rsidP="00CC1A59" w14:paraId="572D42D5" w14:textId="6921981D">
      <w:pPr>
        <w:rPr>
          <w:sz w:val="22"/>
          <w:szCs w:val="22"/>
        </w:rPr>
      </w:pPr>
      <w:r w:rsidRPr="00644209">
        <w:rPr>
          <w:sz w:val="22"/>
          <w:szCs w:val="22"/>
        </w:rPr>
        <w:t>There are no financial implications arising from the recommendations in this report</w:t>
      </w:r>
      <w:r w:rsidRPr="00644209" w:rsidR="00557E1E">
        <w:rPr>
          <w:sz w:val="22"/>
          <w:szCs w:val="22"/>
        </w:rPr>
        <w:t xml:space="preserve">.  </w:t>
      </w:r>
      <w:r w:rsidR="009D6C20">
        <w:rPr>
          <w:sz w:val="22"/>
          <w:szCs w:val="22"/>
        </w:rPr>
        <w:t>However, w</w:t>
      </w:r>
      <w:r w:rsidRPr="00644209">
        <w:rPr>
          <w:sz w:val="22"/>
          <w:szCs w:val="22"/>
        </w:rPr>
        <w:t>ithout appropriate safeguards and if challenged, the Council could be liable to pay a financial penalty in respect of actions held to</w:t>
      </w:r>
      <w:r w:rsidRPr="004E7BE4">
        <w:rPr>
          <w:sz w:val="22"/>
          <w:szCs w:val="22"/>
        </w:rPr>
        <w:t xml:space="preserve"> be an infringement of an individual's right to a private and family life, </w:t>
      </w:r>
      <w:r w:rsidRPr="004E7BE4">
        <w:rPr>
          <w:sz w:val="22"/>
          <w:szCs w:val="22"/>
        </w:rPr>
        <w:t>home</w:t>
      </w:r>
      <w:r w:rsidRPr="004E7BE4">
        <w:rPr>
          <w:sz w:val="22"/>
          <w:szCs w:val="22"/>
        </w:rPr>
        <w:t xml:space="preserve"> and correspondence.</w:t>
      </w:r>
    </w:p>
    <w:p w:rsidR="00557E1E" w:rsidRPr="004E7BE4" w:rsidP="00CC1A59" w14:paraId="7EC785BC" w14:textId="77777777">
      <w:pPr>
        <w:rPr>
          <w:sz w:val="22"/>
          <w:szCs w:val="22"/>
        </w:rPr>
      </w:pPr>
    </w:p>
    <w:p w:rsidR="004E7BE4" w:rsidP="004E7BE4" w14:paraId="7C9AA070" w14:textId="1B9B814A">
      <w:pPr>
        <w:rPr>
          <w:sz w:val="22"/>
          <w:szCs w:val="22"/>
        </w:rPr>
      </w:pPr>
      <w:r w:rsidRPr="004E7BE4">
        <w:rPr>
          <w:b/>
          <w:bCs/>
          <w:sz w:val="22"/>
          <w:szCs w:val="22"/>
        </w:rPr>
        <w:t>Legal</w:t>
      </w:r>
    </w:p>
    <w:p w:rsidR="00146B2E" w:rsidP="004E7BE4" w14:paraId="37BBA9AF" w14:textId="35696216">
      <w:pPr>
        <w:rPr>
          <w:sz w:val="22"/>
          <w:szCs w:val="22"/>
        </w:rPr>
      </w:pPr>
    </w:p>
    <w:p w:rsidR="00146B2E" w:rsidRPr="00425749" w:rsidP="004E7BE4" w14:paraId="26E4B2B8" w14:textId="6B730E7E">
      <w:pPr>
        <w:rPr>
          <w:sz w:val="22"/>
          <w:szCs w:val="22"/>
        </w:rPr>
      </w:pPr>
      <w:r w:rsidRPr="00425749">
        <w:rPr>
          <w:sz w:val="22"/>
          <w:szCs w:val="22"/>
        </w:rPr>
        <w:t>The Council is obliged to have regard to the Covert Human Intelligence Sources Revised Code of Practice (August 2018) and the Covert Surveillance and Property Interference Code of Practice (August 2018) when seeking to undertake covert surveillance, this includes surveillance by the use of social media.</w:t>
      </w:r>
    </w:p>
    <w:p w:rsidR="004E7BE4" w:rsidRPr="00425749" w:rsidP="004E7BE4" w14:paraId="2F049D8F" w14:textId="77777777">
      <w:pPr>
        <w:rPr>
          <w:sz w:val="22"/>
          <w:szCs w:val="22"/>
        </w:rPr>
      </w:pPr>
    </w:p>
    <w:p w:rsidR="001F0958" w:rsidRPr="00425749" w:rsidP="004E7BE4" w14:paraId="4E1D74CB" w14:textId="215A2CB5">
      <w:pPr>
        <w:rPr>
          <w:sz w:val="22"/>
          <w:szCs w:val="22"/>
        </w:rPr>
      </w:pPr>
      <w:r w:rsidRPr="00425749">
        <w:rPr>
          <w:sz w:val="22"/>
          <w:szCs w:val="22"/>
        </w:rPr>
        <w:t xml:space="preserve">There is a possibility of legal action against the authority if covert surveillance is held to have breached an individual's human rights.  </w:t>
      </w:r>
      <w:r w:rsidRPr="00425749" w:rsidR="00375F6E">
        <w:rPr>
          <w:sz w:val="22"/>
          <w:szCs w:val="22"/>
        </w:rPr>
        <w:t>Noncompliance</w:t>
      </w:r>
      <w:r w:rsidRPr="00425749">
        <w:rPr>
          <w:sz w:val="22"/>
          <w:szCs w:val="22"/>
        </w:rPr>
        <w:t xml:space="preserve"> with the legislation may result in challenges </w:t>
      </w:r>
      <w:r w:rsidRPr="00425749" w:rsidR="00375F6E">
        <w:rPr>
          <w:sz w:val="22"/>
          <w:szCs w:val="22"/>
        </w:rPr>
        <w:t xml:space="preserve">by </w:t>
      </w:r>
      <w:r w:rsidRPr="00425749">
        <w:rPr>
          <w:sz w:val="22"/>
          <w:szCs w:val="22"/>
        </w:rPr>
        <w:t>IPCO or challenges to evidence in court.</w:t>
      </w:r>
    </w:p>
    <w:p w:rsidR="00CD6508" w:rsidRPr="00425749" w:rsidP="004E7BE4" w14:paraId="1B71EC3B" w14:textId="7C804A0E">
      <w:pPr>
        <w:rPr>
          <w:sz w:val="22"/>
          <w:szCs w:val="22"/>
        </w:rPr>
      </w:pPr>
    </w:p>
    <w:p w:rsidR="00CD6508" w:rsidRPr="00425749" w:rsidP="004E7BE4" w14:paraId="60A5E4E2" w14:textId="6D671C3B">
      <w:pPr>
        <w:rPr>
          <w:sz w:val="22"/>
          <w:szCs w:val="22"/>
        </w:rPr>
      </w:pPr>
      <w:r w:rsidRPr="00425749">
        <w:rPr>
          <w:sz w:val="22"/>
          <w:szCs w:val="22"/>
        </w:rPr>
        <w:t xml:space="preserve">In relation to the Investigatory Powers Act </w:t>
      </w:r>
      <w:r w:rsidRPr="00425749" w:rsidR="009621D7">
        <w:rPr>
          <w:sz w:val="22"/>
          <w:szCs w:val="22"/>
        </w:rPr>
        <w:t>2016,</w:t>
      </w:r>
      <w:r w:rsidRPr="00425749">
        <w:rPr>
          <w:sz w:val="22"/>
          <w:szCs w:val="22"/>
        </w:rPr>
        <w:t xml:space="preserve"> t</w:t>
      </w:r>
      <w:r w:rsidRPr="00425749">
        <w:rPr>
          <w:sz w:val="22"/>
          <w:szCs w:val="22"/>
        </w:rPr>
        <w:t>he Investigatory Powers Tribunal has jurisdiction to investigate and determine complaints against public authority use of investigatory powers.</w:t>
      </w:r>
    </w:p>
    <w:p w:rsidR="008021CD" w:rsidRPr="004E7BE4" w:rsidP="00CC1A59" w14:paraId="74C914E3" w14:textId="71FCC41F">
      <w:pPr>
        <w:rPr>
          <w:sz w:val="22"/>
          <w:szCs w:val="22"/>
        </w:rPr>
      </w:pPr>
    </w:p>
    <w:p w:rsidR="008021CD" w:rsidRPr="004E7BE4" w:rsidP="008021CD" w14:paraId="2733DC91" w14:textId="77777777">
      <w:pPr>
        <w:rPr>
          <w:b/>
          <w:bCs/>
          <w:sz w:val="22"/>
          <w:szCs w:val="22"/>
        </w:rPr>
      </w:pPr>
      <w:r w:rsidRPr="004E7BE4">
        <w:rPr>
          <w:b/>
          <w:bCs/>
          <w:sz w:val="22"/>
          <w:szCs w:val="22"/>
        </w:rPr>
        <w:t>Equality and Cohesion</w:t>
      </w:r>
    </w:p>
    <w:p w:rsidR="008021CD" w:rsidRPr="004E7BE4" w:rsidP="008021CD" w14:paraId="03CEF85C" w14:textId="1E2FB4B2">
      <w:pPr>
        <w:rPr>
          <w:sz w:val="22"/>
          <w:szCs w:val="22"/>
        </w:rPr>
      </w:pPr>
      <w:r w:rsidRPr="004E7BE4">
        <w:rPr>
          <w:sz w:val="22"/>
          <w:szCs w:val="22"/>
        </w:rPr>
        <w:t xml:space="preserve"> </w:t>
      </w:r>
    </w:p>
    <w:p w:rsidR="008021CD" w:rsidRPr="004E7BE4" w:rsidP="008021CD" w14:paraId="361A87F0" w14:textId="77777777">
      <w:pPr>
        <w:rPr>
          <w:sz w:val="22"/>
          <w:szCs w:val="22"/>
        </w:rPr>
      </w:pPr>
      <w:r w:rsidRPr="004E7BE4">
        <w:rPr>
          <w:sz w:val="22"/>
          <w:szCs w:val="22"/>
        </w:rPr>
        <w:t xml:space="preserve">The use of RIPA principles requires consideration of the necessity and proportionality of surveillance and as part of this, equality and cohesion issues would be considered. </w:t>
      </w:r>
    </w:p>
    <w:p w:rsidR="008021CD" w:rsidRPr="004E7BE4" w:rsidP="008021CD" w14:paraId="00A5B461" w14:textId="77777777">
      <w:pPr>
        <w:rPr>
          <w:b/>
          <w:bCs/>
          <w:sz w:val="22"/>
          <w:szCs w:val="22"/>
        </w:rPr>
      </w:pPr>
    </w:p>
    <w:p w:rsidR="008021CD" w:rsidRPr="004E7BE4" w:rsidP="008021CD" w14:paraId="7005A103" w14:textId="0BA18098">
      <w:pPr>
        <w:rPr>
          <w:sz w:val="22"/>
          <w:szCs w:val="22"/>
        </w:rPr>
      </w:pPr>
      <w:r w:rsidRPr="004E7BE4">
        <w:rPr>
          <w:b/>
          <w:bCs/>
          <w:sz w:val="22"/>
          <w:szCs w:val="22"/>
        </w:rPr>
        <w:t>Human Rights</w:t>
      </w:r>
      <w:r w:rsidRPr="004E7BE4">
        <w:rPr>
          <w:sz w:val="22"/>
          <w:szCs w:val="22"/>
        </w:rPr>
        <w:t xml:space="preserve"> </w:t>
      </w:r>
    </w:p>
    <w:p w:rsidR="008021CD" w:rsidRPr="004E7BE4" w:rsidP="008021CD" w14:paraId="4DCEF97F" w14:textId="77777777">
      <w:pPr>
        <w:rPr>
          <w:sz w:val="22"/>
          <w:szCs w:val="22"/>
        </w:rPr>
      </w:pPr>
    </w:p>
    <w:p w:rsidR="008021CD" w:rsidRPr="004E7BE4" w:rsidP="008021CD" w14:paraId="22FEDDA3" w14:textId="6201DF79">
      <w:pPr>
        <w:rPr>
          <w:sz w:val="22"/>
          <w:szCs w:val="22"/>
        </w:rPr>
      </w:pPr>
      <w:r w:rsidRPr="004E7BE4">
        <w:rPr>
          <w:sz w:val="22"/>
          <w:szCs w:val="22"/>
        </w:rPr>
        <w:t xml:space="preserve">The use of RIPA and associated principles is recommended in the context of consideration of the impact of surveillance activities on the right to privacy, a family life, </w:t>
      </w:r>
      <w:r w:rsidRPr="004E7BE4">
        <w:rPr>
          <w:sz w:val="22"/>
          <w:szCs w:val="22"/>
        </w:rPr>
        <w:t>home</w:t>
      </w:r>
      <w:r w:rsidRPr="004E7BE4">
        <w:rPr>
          <w:sz w:val="22"/>
          <w:szCs w:val="22"/>
        </w:rPr>
        <w:t xml:space="preserve"> and correspondence. </w:t>
      </w:r>
    </w:p>
    <w:p w:rsidR="008021CD" w:rsidRPr="004E7BE4" w:rsidP="008021CD" w14:paraId="7CE70BE8" w14:textId="77777777">
      <w:pPr>
        <w:rPr>
          <w:sz w:val="22"/>
          <w:szCs w:val="22"/>
        </w:rPr>
      </w:pPr>
    </w:p>
    <w:p w:rsidR="008021CD" w:rsidRPr="004E7BE4" w:rsidP="008021CD" w14:paraId="26898AA9" w14:textId="18465268">
      <w:pPr>
        <w:rPr>
          <w:b/>
          <w:bCs/>
          <w:sz w:val="22"/>
          <w:szCs w:val="22"/>
        </w:rPr>
      </w:pPr>
      <w:r w:rsidRPr="004E7BE4">
        <w:rPr>
          <w:b/>
          <w:bCs/>
          <w:sz w:val="22"/>
          <w:szCs w:val="22"/>
        </w:rPr>
        <w:t xml:space="preserve">Crime and Disorder </w:t>
      </w:r>
    </w:p>
    <w:p w:rsidR="008021CD" w:rsidRPr="004E7BE4" w:rsidP="008021CD" w14:paraId="5CD42E61" w14:textId="77777777">
      <w:pPr>
        <w:rPr>
          <w:b/>
          <w:bCs/>
          <w:sz w:val="22"/>
          <w:szCs w:val="22"/>
        </w:rPr>
      </w:pPr>
    </w:p>
    <w:p w:rsidR="008021CD" w:rsidRPr="004E7BE4" w:rsidP="008021CD" w14:paraId="69A599FC" w14:textId="77777777">
      <w:pPr>
        <w:rPr>
          <w:sz w:val="22"/>
          <w:szCs w:val="22"/>
        </w:rPr>
      </w:pPr>
      <w:r w:rsidRPr="004E7BE4">
        <w:rPr>
          <w:sz w:val="22"/>
          <w:szCs w:val="22"/>
        </w:rPr>
        <w:t>LCC Trading Standards Service has a statutory duty to investigate criminal offences committed under a wide range of public protection legislation. In a small minority of cases the use of covert surveillance may be the only means of progressing the investigation.</w:t>
      </w:r>
    </w:p>
    <w:p w:rsidR="008021CD" w:rsidRPr="004E7BE4" w:rsidP="008021CD" w14:paraId="05994413" w14:textId="46C0B326">
      <w:pPr>
        <w:rPr>
          <w:b/>
          <w:bCs/>
          <w:sz w:val="22"/>
          <w:szCs w:val="22"/>
        </w:rPr>
      </w:pPr>
      <w:r w:rsidRPr="004E7BE4">
        <w:rPr>
          <w:sz w:val="22"/>
          <w:szCs w:val="22"/>
        </w:rPr>
        <w:t xml:space="preserve"> </w:t>
      </w:r>
    </w:p>
    <w:p w:rsidR="008021CD" w:rsidP="008021CD" w14:paraId="625F221D" w14:textId="57F16900">
      <w:pPr>
        <w:rPr>
          <w:b/>
          <w:bCs/>
          <w:sz w:val="22"/>
          <w:szCs w:val="22"/>
        </w:rPr>
      </w:pPr>
      <w:r w:rsidRPr="004E7BE4">
        <w:rPr>
          <w:b/>
          <w:bCs/>
          <w:sz w:val="22"/>
          <w:szCs w:val="22"/>
        </w:rPr>
        <w:t xml:space="preserve">Personnel </w:t>
      </w:r>
    </w:p>
    <w:p w:rsidR="00F043F5" w:rsidRPr="004E7BE4" w:rsidP="008021CD" w14:paraId="635604C2" w14:textId="77777777">
      <w:pPr>
        <w:rPr>
          <w:b/>
          <w:bCs/>
          <w:sz w:val="22"/>
          <w:szCs w:val="22"/>
        </w:rPr>
      </w:pPr>
    </w:p>
    <w:p w:rsidR="008021CD" w:rsidRPr="004E7BE4" w:rsidP="008021CD" w14:paraId="057B6D47" w14:textId="77777777">
      <w:pPr>
        <w:rPr>
          <w:sz w:val="22"/>
          <w:szCs w:val="22"/>
        </w:rPr>
      </w:pPr>
      <w:r w:rsidRPr="004E7BE4">
        <w:rPr>
          <w:sz w:val="22"/>
          <w:szCs w:val="22"/>
        </w:rPr>
        <w:t xml:space="preserve">Activities are risk assessed to ensure the health and safety of individuals is considered and any mitigating measures are implemented. </w:t>
      </w:r>
    </w:p>
    <w:p w:rsidR="003E6A45" w:rsidRPr="004E7BE4" w14:paraId="0BB17B5E" w14:textId="77777777">
      <w:pPr>
        <w:pStyle w:val="Heading5"/>
        <w:rPr>
          <w:rFonts w:ascii="Arial" w:hAnsi="Arial" w:cs="Arial"/>
          <w:sz w:val="22"/>
          <w:szCs w:val="22"/>
        </w:rPr>
      </w:pPr>
    </w:p>
    <w:p w:rsidR="003E6A45" w:rsidRPr="004E7BE4" w14:paraId="32D68404" w14:textId="77777777">
      <w:pPr>
        <w:pStyle w:val="Heading5"/>
        <w:rPr>
          <w:rFonts w:ascii="Arial" w:hAnsi="Arial" w:cs="Arial"/>
          <w:sz w:val="22"/>
          <w:szCs w:val="22"/>
          <w:u w:val="none"/>
        </w:rPr>
      </w:pPr>
      <w:r w:rsidRPr="004E7BE4">
        <w:rPr>
          <w:rFonts w:ascii="Arial" w:hAnsi="Arial" w:cs="Arial"/>
          <w:sz w:val="22"/>
          <w:szCs w:val="22"/>
          <w:u w:val="none"/>
        </w:rPr>
        <w:t>Local Government (Access to Information) Act 1985</w:t>
      </w:r>
    </w:p>
    <w:p w:rsidR="003E6A45" w:rsidRPr="004E7BE4" w14:paraId="6A935023" w14:textId="77777777">
      <w:pPr>
        <w:pStyle w:val="Heading5"/>
        <w:rPr>
          <w:rFonts w:ascii="Arial" w:hAnsi="Arial" w:cs="Arial"/>
          <w:sz w:val="22"/>
          <w:szCs w:val="22"/>
          <w:u w:val="none"/>
        </w:rPr>
      </w:pPr>
      <w:r w:rsidRPr="004E7BE4">
        <w:rPr>
          <w:rFonts w:ascii="Arial" w:hAnsi="Arial" w:cs="Arial"/>
          <w:sz w:val="22"/>
          <w:szCs w:val="22"/>
          <w:u w:val="none"/>
        </w:rPr>
        <w:t>List of Background Papers</w:t>
      </w:r>
    </w:p>
    <w:p w:rsidR="003E6A45" w:rsidRPr="004E7BE4" w14:paraId="307641E2" w14:textId="77777777">
      <w:pPr>
        <w:rPr>
          <w:rFonts w:cs="Arial"/>
          <w:sz w:val="22"/>
          <w:szCs w:val="22"/>
        </w:rPr>
      </w:pPr>
    </w:p>
    <w:tbl>
      <w:tblPr>
        <w:tblW w:w="0" w:type="auto"/>
        <w:tblLayout w:type="fixed"/>
        <w:tblLook w:val="0000"/>
      </w:tblPr>
      <w:tblGrid>
        <w:gridCol w:w="3227"/>
        <w:gridCol w:w="2775"/>
        <w:gridCol w:w="3178"/>
      </w:tblGrid>
      <w:tr w14:paraId="2438E75A" w14:textId="77777777">
        <w:tblPrEx>
          <w:tblW w:w="0" w:type="auto"/>
          <w:tblLayout w:type="fixed"/>
          <w:tblLook w:val="0000"/>
        </w:tblPrEx>
        <w:tc>
          <w:tcPr>
            <w:tcW w:w="3227" w:type="dxa"/>
          </w:tcPr>
          <w:p w:rsidR="003E6A45" w:rsidRPr="004E7BE4" w14:paraId="43CA358C" w14:textId="77777777">
            <w:pPr>
              <w:pStyle w:val="Heading7"/>
              <w:rPr>
                <w:rFonts w:ascii="Arial" w:hAnsi="Arial" w:cs="Arial"/>
                <w:sz w:val="22"/>
                <w:szCs w:val="22"/>
                <w:u w:val="none"/>
              </w:rPr>
            </w:pPr>
            <w:r w:rsidRPr="004E7BE4">
              <w:rPr>
                <w:rFonts w:ascii="Arial" w:hAnsi="Arial" w:cs="Arial"/>
                <w:sz w:val="22"/>
                <w:szCs w:val="22"/>
                <w:u w:val="none"/>
              </w:rPr>
              <w:t>Paper</w:t>
            </w:r>
          </w:p>
        </w:tc>
        <w:tc>
          <w:tcPr>
            <w:tcW w:w="2775" w:type="dxa"/>
          </w:tcPr>
          <w:p w:rsidR="003E6A45" w:rsidRPr="004E7BE4" w14:paraId="3F750969" w14:textId="77777777">
            <w:pPr>
              <w:pStyle w:val="Heading7"/>
              <w:rPr>
                <w:rFonts w:ascii="Arial" w:hAnsi="Arial" w:cs="Arial"/>
                <w:sz w:val="22"/>
                <w:szCs w:val="22"/>
                <w:u w:val="none"/>
              </w:rPr>
            </w:pPr>
            <w:r w:rsidRPr="004E7BE4">
              <w:rPr>
                <w:rFonts w:ascii="Arial" w:hAnsi="Arial" w:cs="Arial"/>
                <w:sz w:val="22"/>
                <w:szCs w:val="22"/>
                <w:u w:val="none"/>
              </w:rPr>
              <w:t>Date</w:t>
            </w:r>
          </w:p>
        </w:tc>
        <w:tc>
          <w:tcPr>
            <w:tcW w:w="3178" w:type="dxa"/>
          </w:tcPr>
          <w:p w:rsidR="003E6A45" w:rsidRPr="004E7BE4" w:rsidP="00F642C1" w14:paraId="07F6DAEA" w14:textId="77777777">
            <w:pPr>
              <w:pStyle w:val="Heading7"/>
              <w:rPr>
                <w:rFonts w:ascii="Arial" w:hAnsi="Arial" w:cs="Arial"/>
                <w:sz w:val="22"/>
                <w:szCs w:val="22"/>
                <w:u w:val="none"/>
              </w:rPr>
            </w:pPr>
            <w:r w:rsidRPr="004E7BE4">
              <w:rPr>
                <w:rFonts w:ascii="Arial" w:hAnsi="Arial" w:cs="Arial"/>
                <w:sz w:val="22"/>
                <w:szCs w:val="22"/>
                <w:u w:val="none"/>
              </w:rPr>
              <w:t>Contact/</w:t>
            </w:r>
            <w:r w:rsidRPr="004E7BE4" w:rsidR="00772BBA">
              <w:rPr>
                <w:rFonts w:ascii="Arial" w:hAnsi="Arial" w:cs="Arial"/>
                <w:sz w:val="22"/>
                <w:szCs w:val="22"/>
                <w:u w:val="none"/>
              </w:rPr>
              <w:t>Tel</w:t>
            </w:r>
          </w:p>
        </w:tc>
      </w:tr>
      <w:tr w14:paraId="41A5153F" w14:textId="77777777">
        <w:tblPrEx>
          <w:tblW w:w="0" w:type="auto"/>
          <w:tblLayout w:type="fixed"/>
          <w:tblLook w:val="0000"/>
        </w:tblPrEx>
        <w:tc>
          <w:tcPr>
            <w:tcW w:w="3227" w:type="dxa"/>
          </w:tcPr>
          <w:p w:rsidR="003E6A45" w:rsidRPr="004E7BE4" w14:paraId="36101ED8" w14:textId="77777777">
            <w:pPr>
              <w:pStyle w:val="Heading7"/>
              <w:rPr>
                <w:rFonts w:ascii="Arial" w:hAnsi="Arial" w:cs="Arial"/>
                <w:sz w:val="22"/>
                <w:szCs w:val="22"/>
                <w:u w:val="none"/>
              </w:rPr>
            </w:pPr>
          </w:p>
          <w:p w:rsidR="003E6A45" w:rsidRPr="004E7BE4" w14:paraId="173CE52D" w14:textId="77777777">
            <w:pPr>
              <w:rPr>
                <w:rFonts w:cs="Arial"/>
                <w:sz w:val="22"/>
                <w:szCs w:val="22"/>
              </w:rPr>
            </w:pPr>
            <w:r w:rsidRPr="004E7BE4">
              <w:rPr>
                <w:rFonts w:cs="Arial"/>
                <w:sz w:val="22"/>
                <w:szCs w:val="22"/>
              </w:rPr>
              <w:t>N/A</w:t>
            </w:r>
          </w:p>
          <w:p w:rsidR="00F62840" w:rsidRPr="004E7BE4" w14:paraId="237C1252" w14:textId="2F5627AD">
            <w:pPr>
              <w:rPr>
                <w:rFonts w:cs="Arial"/>
                <w:sz w:val="22"/>
                <w:szCs w:val="22"/>
              </w:rPr>
            </w:pPr>
          </w:p>
        </w:tc>
        <w:tc>
          <w:tcPr>
            <w:tcW w:w="2775" w:type="dxa"/>
          </w:tcPr>
          <w:p w:rsidR="003E6A45" w:rsidRPr="004E7BE4" w14:paraId="69D7A310" w14:textId="77777777">
            <w:pPr>
              <w:pStyle w:val="Heading7"/>
              <w:rPr>
                <w:rFonts w:ascii="Arial" w:hAnsi="Arial" w:cs="Arial"/>
                <w:sz w:val="22"/>
                <w:szCs w:val="22"/>
                <w:u w:val="none"/>
              </w:rPr>
            </w:pPr>
          </w:p>
          <w:p w:rsidR="003E6A45" w:rsidRPr="004E7BE4" w14:paraId="10977D66" w14:textId="53DF49C9">
            <w:pPr>
              <w:rPr>
                <w:rFonts w:cs="Arial"/>
                <w:sz w:val="22"/>
                <w:szCs w:val="22"/>
              </w:rPr>
            </w:pPr>
          </w:p>
        </w:tc>
        <w:tc>
          <w:tcPr>
            <w:tcW w:w="3178" w:type="dxa"/>
          </w:tcPr>
          <w:p w:rsidR="003E6A45" w:rsidRPr="004E7BE4" w14:paraId="1EB26AB4" w14:textId="77777777">
            <w:pPr>
              <w:rPr>
                <w:rFonts w:cs="Arial"/>
                <w:sz w:val="22"/>
                <w:szCs w:val="22"/>
              </w:rPr>
            </w:pPr>
          </w:p>
          <w:p w:rsidR="003E6A45" w:rsidRPr="004E7BE4" w:rsidP="00F62840" w14:paraId="464E371C" w14:textId="77777777">
            <w:pPr>
              <w:rPr>
                <w:rFonts w:cs="Arial"/>
                <w:sz w:val="22"/>
                <w:szCs w:val="22"/>
              </w:rPr>
            </w:pPr>
          </w:p>
        </w:tc>
      </w:tr>
      <w:tr w14:paraId="057FB8E6" w14:textId="77777777">
        <w:tblPrEx>
          <w:tblW w:w="0" w:type="auto"/>
          <w:tblLayout w:type="fixed"/>
          <w:tblLook w:val="0000"/>
        </w:tblPrEx>
        <w:tc>
          <w:tcPr>
            <w:tcW w:w="9180" w:type="dxa"/>
            <w:gridSpan w:val="3"/>
          </w:tcPr>
          <w:p w:rsidR="003E6A45" w:rsidRPr="004E7BE4" w14:paraId="752CF730" w14:textId="77777777">
            <w:pPr>
              <w:rPr>
                <w:rFonts w:cs="Arial"/>
                <w:b/>
                <w:bCs/>
                <w:sz w:val="22"/>
                <w:szCs w:val="22"/>
              </w:rPr>
            </w:pPr>
            <w:r w:rsidRPr="004E7BE4">
              <w:rPr>
                <w:rFonts w:cs="Arial"/>
                <w:b/>
                <w:bCs/>
                <w:sz w:val="22"/>
                <w:szCs w:val="22"/>
              </w:rPr>
              <w:t>Reason for inclusion in Part II, if appropriate</w:t>
            </w:r>
          </w:p>
          <w:p w:rsidR="003E6A45" w:rsidRPr="004E7BE4" w14:paraId="5913DC74" w14:textId="77777777">
            <w:pPr>
              <w:rPr>
                <w:rFonts w:cs="Arial"/>
                <w:sz w:val="22"/>
                <w:szCs w:val="22"/>
              </w:rPr>
            </w:pPr>
          </w:p>
          <w:p w:rsidR="003E6A45" w:rsidRPr="004E7BE4" w:rsidP="009621D7" w14:paraId="3323F521" w14:textId="13A38B68">
            <w:pPr>
              <w:jc w:val="both"/>
              <w:rPr>
                <w:rFonts w:cs="Arial"/>
                <w:sz w:val="22"/>
                <w:szCs w:val="22"/>
              </w:rPr>
            </w:pPr>
            <w:r>
              <w:rPr>
                <w:sz w:val="22"/>
                <w:szCs w:val="22"/>
              </w:rPr>
              <w:t>N/A</w:t>
            </w:r>
          </w:p>
        </w:tc>
      </w:tr>
    </w:tbl>
    <w:p w:rsidR="003E6A45" w:rsidRPr="004E7BE4" w14:paraId="0FE51517" w14:textId="77777777">
      <w:pPr>
        <w:rPr>
          <w:rFonts w:cs="Arial"/>
          <w:sz w:val="22"/>
          <w:szCs w:val="22"/>
        </w:rPr>
      </w:pPr>
    </w:p>
    <w:sectPr>
      <w:footerReference w:type="default" r:id="rId5"/>
      <w:footerReference w:type="first" r:id="rId6"/>
      <w:type w:val="continuous"/>
      <w:pgSz w:w="11907" w:h="16840" w:code="9"/>
      <w:pgMar w:top="1440" w:right="1440" w:bottom="1440" w:left="1440" w:header="720" w:footer="306" w:gutter="0"/>
      <w:paperSrc w:first="7" w:other="7"/>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14:paraId="6DF9E807"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43" w:type="dxa"/>
          <w:tcBorders>
            <w:top w:val="nil"/>
            <w:left w:val="nil"/>
            <w:bottom w:val="nil"/>
            <w:right w:val="nil"/>
          </w:tcBorders>
        </w:tcPr>
        <w:p w:rsidR="003E6A45" w14:paraId="5F738674" w14:textId="77777777">
          <w:pPr>
            <w:pStyle w:val="Footer"/>
            <w:tabs>
              <w:tab w:val="clear" w:pos="4153"/>
            </w:tabs>
            <w:ind w:right="-45"/>
            <w:jc w:val="right"/>
          </w:pPr>
        </w:p>
      </w:tc>
    </w:tr>
  </w:tbl>
  <w:p w:rsidR="003E6A45" w14:paraId="27475738" w14:textId="77777777">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14:paraId="0F0A722D"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43" w:type="dxa"/>
          <w:tcBorders>
            <w:top w:val="nil"/>
            <w:left w:val="nil"/>
            <w:bottom w:val="nil"/>
            <w:right w:val="nil"/>
          </w:tcBorders>
        </w:tcPr>
        <w:p w:rsidR="003E6A45" w14:paraId="02FBC03C" w14:textId="2D518A85">
          <w:pPr>
            <w:pStyle w:val="Footer"/>
            <w:tabs>
              <w:tab w:val="clear" w:pos="4153"/>
            </w:tabs>
            <w:ind w:right="-45"/>
            <w:jc w:val="right"/>
          </w:pPr>
          <w:r>
            <w:rPr>
              <w:noProof/>
            </w:rPr>
            <w:drawing>
              <wp:inline distT="0" distB="0" distL="0" distR="0">
                <wp:extent cx="1256665" cy="625475"/>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488024" name="Picture 2" descr="A4 65MM"/>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6665" cy="625475"/>
                        </a:xfrm>
                        <a:prstGeom prst="rect">
                          <a:avLst/>
                        </a:prstGeom>
                        <a:noFill/>
                        <a:ln>
                          <a:noFill/>
                        </a:ln>
                      </pic:spPr>
                    </pic:pic>
                  </a:graphicData>
                </a:graphic>
              </wp:inline>
            </w:drawing>
          </w:r>
        </w:p>
      </w:tc>
    </w:tr>
  </w:tbl>
  <w:p w:rsidR="003E6A45" w14:paraId="1ECADA8E" w14:textId="77777777">
    <w:pPr>
      <w:pStyle w:val="Footer"/>
      <w:tabs>
        <w:tab w:val="clear" w:pos="4153"/>
      </w:tabs>
      <w:ind w:right="-45"/>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993CFC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F16A98"/>
    <w:multiLevelType w:val="hybridMultilevel"/>
    <w:tmpl w:val="CC8255D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E6707DD"/>
    <w:multiLevelType w:val="hybridMultilevel"/>
    <w:tmpl w:val="956A754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6FE207D9"/>
    <w:multiLevelType w:val="hybridMultilevel"/>
    <w:tmpl w:val="5EE260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45"/>
    <w:rsid w:val="00036966"/>
    <w:rsid w:val="0005764A"/>
    <w:rsid w:val="00075F20"/>
    <w:rsid w:val="00092B2F"/>
    <w:rsid w:val="00093397"/>
    <w:rsid w:val="000A74B6"/>
    <w:rsid w:val="000C37AA"/>
    <w:rsid w:val="00103A17"/>
    <w:rsid w:val="00111665"/>
    <w:rsid w:val="00115CD4"/>
    <w:rsid w:val="00136DC1"/>
    <w:rsid w:val="00146B2E"/>
    <w:rsid w:val="00156085"/>
    <w:rsid w:val="001F0958"/>
    <w:rsid w:val="0028461B"/>
    <w:rsid w:val="002B11AF"/>
    <w:rsid w:val="002B51BD"/>
    <w:rsid w:val="003040DC"/>
    <w:rsid w:val="00305967"/>
    <w:rsid w:val="00316C1B"/>
    <w:rsid w:val="00354CAC"/>
    <w:rsid w:val="00357954"/>
    <w:rsid w:val="00367C61"/>
    <w:rsid w:val="00375F6E"/>
    <w:rsid w:val="00381247"/>
    <w:rsid w:val="003B252B"/>
    <w:rsid w:val="003E6A45"/>
    <w:rsid w:val="00404DE7"/>
    <w:rsid w:val="00425749"/>
    <w:rsid w:val="0042763F"/>
    <w:rsid w:val="0044710C"/>
    <w:rsid w:val="00447408"/>
    <w:rsid w:val="004E7BE4"/>
    <w:rsid w:val="005142CF"/>
    <w:rsid w:val="005227A2"/>
    <w:rsid w:val="00557CDA"/>
    <w:rsid w:val="00557E1E"/>
    <w:rsid w:val="00576B7D"/>
    <w:rsid w:val="00581BB4"/>
    <w:rsid w:val="00621B00"/>
    <w:rsid w:val="00644209"/>
    <w:rsid w:val="00695EC0"/>
    <w:rsid w:val="006B039E"/>
    <w:rsid w:val="0070032A"/>
    <w:rsid w:val="00772BBA"/>
    <w:rsid w:val="007B5200"/>
    <w:rsid w:val="007C18CE"/>
    <w:rsid w:val="007E5D69"/>
    <w:rsid w:val="007E7A9F"/>
    <w:rsid w:val="008021CD"/>
    <w:rsid w:val="00873926"/>
    <w:rsid w:val="008A268E"/>
    <w:rsid w:val="008A5E88"/>
    <w:rsid w:val="009621D7"/>
    <w:rsid w:val="0098568E"/>
    <w:rsid w:val="009B3418"/>
    <w:rsid w:val="009B61F1"/>
    <w:rsid w:val="009D2945"/>
    <w:rsid w:val="009D6C20"/>
    <w:rsid w:val="009F4E31"/>
    <w:rsid w:val="00A753B6"/>
    <w:rsid w:val="00A85E2B"/>
    <w:rsid w:val="00AD5789"/>
    <w:rsid w:val="00B065DF"/>
    <w:rsid w:val="00B10EC1"/>
    <w:rsid w:val="00B6033B"/>
    <w:rsid w:val="00B67789"/>
    <w:rsid w:val="00BB08CC"/>
    <w:rsid w:val="00BB0FA4"/>
    <w:rsid w:val="00BE0DCE"/>
    <w:rsid w:val="00BE1152"/>
    <w:rsid w:val="00BF78DE"/>
    <w:rsid w:val="00C124F2"/>
    <w:rsid w:val="00C20DC0"/>
    <w:rsid w:val="00C43FDD"/>
    <w:rsid w:val="00C6358E"/>
    <w:rsid w:val="00C7755C"/>
    <w:rsid w:val="00CC1A59"/>
    <w:rsid w:val="00CD5239"/>
    <w:rsid w:val="00CD6508"/>
    <w:rsid w:val="00D044DC"/>
    <w:rsid w:val="00D247DE"/>
    <w:rsid w:val="00D41398"/>
    <w:rsid w:val="00DC2D74"/>
    <w:rsid w:val="00E303EC"/>
    <w:rsid w:val="00EA45E5"/>
    <w:rsid w:val="00EE461B"/>
    <w:rsid w:val="00F043F5"/>
    <w:rsid w:val="00F610F0"/>
    <w:rsid w:val="00F62840"/>
    <w:rsid w:val="00F642C1"/>
    <w:rsid w:val="00F65C64"/>
    <w:rsid w:val="00FE20D8"/>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164CC3E-8BFA-4FDB-A886-1F47F44A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rial11">
    <w:name w:val="arial11"/>
    <w:basedOn w:val="Normal"/>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57954"/>
    <w:rPr>
      <w:rFonts w:ascii="Tahoma" w:hAnsi="Tahoma" w:cs="Tahoma"/>
      <w:sz w:val="16"/>
      <w:szCs w:val="16"/>
    </w:rPr>
  </w:style>
  <w:style w:type="paragraph" w:styleId="ListParagraph">
    <w:name w:val="List Paragraph"/>
    <w:basedOn w:val="Normal"/>
    <w:uiPriority w:val="34"/>
    <w:qFormat/>
    <w:rsid w:val="00557CDA"/>
    <w:pPr>
      <w:spacing w:after="160" w:line="259" w:lineRule="auto"/>
      <w:ind w:left="720"/>
      <w:contextualSpacing/>
    </w:pPr>
    <w:rPr>
      <w:rFonts w:ascii="Calibri" w:eastAsia="Calibri" w:hAnsi="Calibri"/>
      <w:sz w:val="22"/>
      <w:szCs w:val="22"/>
      <w:lang w:eastAsia="en-US"/>
    </w:rPr>
  </w:style>
  <w:style w:type="paragraph" w:styleId="ListBullet">
    <w:name w:val="List Bullet"/>
    <w:basedOn w:val="Normal"/>
    <w:uiPriority w:val="99"/>
    <w:unhideWhenUsed/>
    <w:rsid w:val="00557CDA"/>
    <w:pPr>
      <w:numPr>
        <w:numId w:val="2"/>
      </w:numPr>
      <w:spacing w:after="160" w:line="259" w:lineRule="auto"/>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er2.xml.rels>&#65279;<?xml version="1.0" encoding="utf-8" standalone="yes"?><Relationships xmlns="http://schemas.openxmlformats.org/package/2006/relationships"><Relationship Id="rId1" Type="http://schemas.openxmlformats.org/officeDocument/2006/relationships/image" Target="media/image1.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EFE7-B448-4E05-BC8D-AC3FE21E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8</TotalTime>
  <Pages>4</Pages>
  <Words>1338</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Mahmood, Misbah</cp:lastModifiedBy>
  <cp:revision>4</cp:revision>
  <cp:lastPrinted>2002-09-23T10:55:00Z</cp:lastPrinted>
  <dcterms:created xsi:type="dcterms:W3CDTF">2021-08-26T00:23:00Z</dcterms:created>
  <dcterms:modified xsi:type="dcterms:W3CDTF">2021-09-02T19:10:00Z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Internal Scrutiny Committee</vt:lpwstr>
  </property>
  <property fmtid="{D5CDD505-2E9C-101B-9397-08002B2CF9AE}" pid="3" name="IssueTitle">
    <vt:lpwstr>Regulatory of Investigatory Powers Act 2000 - Annual Report</vt:lpwstr>
  </property>
  <property fmtid="{D5CDD505-2E9C-101B-9397-08002B2CF9AE}" pid="4" name="LeadOfficer">
    <vt:lpwstr>Chris Wilkinson</vt:lpwstr>
  </property>
  <property fmtid="{D5CDD505-2E9C-101B-9397-08002B2CF9AE}" pid="5" name="LeadOfficerEmail">
    <vt:lpwstr>christopher.wilkinson@lancashire.gov.uk</vt:lpwstr>
  </property>
  <property fmtid="{D5CDD505-2E9C-101B-9397-08002B2CF9AE}" pid="6" name="LeadOfficerTel">
    <vt:lpwstr/>
  </property>
  <property fmtid="{D5CDD505-2E9C-101B-9397-08002B2CF9AE}" pid="7" name="MeetingDate">
    <vt:lpwstr>Friday, 10 September 2021</vt:lpwstr>
  </property>
  <property fmtid="{D5CDD505-2E9C-101B-9397-08002B2CF9AE}" pid="8" name="Wards">
    <vt:lpwstr/>
  </property>
  <property fmtid="{D5CDD505-2E9C-101B-9397-08002B2CF9AE}" pid="9" name="_AdHocReviewCycleID">
    <vt:i4>-972722728</vt:i4>
  </property>
  <property fmtid="{D5CDD505-2E9C-101B-9397-08002B2CF9AE}" pid="10" name="_AuthorEmail">
    <vt:lpwstr>Chris.Mather@css.lancscc.gov.uk</vt:lpwstr>
  </property>
  <property fmtid="{D5CDD505-2E9C-101B-9397-08002B2CF9AE}" pid="11" name="_AuthorEmailDisplayName">
    <vt:lpwstr>Mather, Chris</vt:lpwstr>
  </property>
  <property fmtid="{D5CDD505-2E9C-101B-9397-08002B2CF9AE}" pid="12" name="_EmailSubject">
    <vt:lpwstr>New Committee templates</vt:lpwstr>
  </property>
  <property fmtid="{D5CDD505-2E9C-101B-9397-08002B2CF9AE}" pid="13" name="_ReviewingToolsShownOnce">
    <vt:lpwstr/>
  </property>
</Properties>
</file>